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880"/>
      </w:pPr>
    </w:p>
    <w:p>
      <w:pPr>
        <w:spacing w:after="80" w:before="0"/>
        <w:jc w:val="center"/>
      </w:pPr>
      <w:r>
        <w:rPr>
          <w:rFonts w:ascii="Arial" w:cs="Arial" w:eastAsia="Arial" w:hAnsi="Arial"/>
          <w:b/>
          <w:bCs/>
          <w:color w:val="0D2B4E"/>
          <w:sz w:val="56"/>
          <w:szCs w:val="56"/>
        </w:rPr>
        <w:t xml:space="preserve">TECHNICAL REFERENCE BLUEPRINT</w:t>
      </w:r>
    </w:p>
    <w:p>
      <w:pPr>
        <w:spacing w:after="160" w:before="0"/>
        <w:jc w:val="center"/>
      </w:pPr>
      <w:r>
        <w:rPr>
          <w:rFonts w:ascii="Arial" w:cs="Arial" w:eastAsia="Arial" w:hAnsi="Arial"/>
          <w:b/>
          <w:bCs/>
          <w:color w:val="2E75B6"/>
          <w:sz w:val="40"/>
          <w:szCs w:val="40"/>
        </w:rPr>
        <w:t xml:space="preserve">Azure Migration Engineer</w:t>
      </w:r>
    </w:p>
    <w:p>
      <w:pPr>
        <w:pBdr>
          <w:bottom w:val="single" w:color="2E75B6" w:sz="16" w:space="1"/>
        </w:pBdr>
        <w:spacing w:after="60" w:before="60"/>
      </w:pPr>
    </w:p>
    <w:p>
      <w:pPr>
        <w:spacing w:after="0" w:before="80"/>
      </w:pPr>
    </w:p>
    <w:p>
      <w:pPr>
        <w:spacing w:after="60" w:before="0"/>
        <w:jc w:val="center"/>
      </w:pPr>
      <w:r>
        <w:rPr>
          <w:rFonts w:ascii="Arial" w:cs="Arial" w:eastAsia="Arial" w:hAnsi="Arial"/>
          <w:i/>
          <w:iCs/>
          <w:color w:val="556B7A"/>
          <w:sz w:val="22"/>
          <w:szCs w:val="22"/>
        </w:rPr>
        <w:t xml:space="preserve">A comprehensive skills, patterns, governance, automation and operationalisation
blueprint for large-scale Azure Migration Programmes</w:t>
      </w:r>
    </w:p>
    <w:p>
      <w:pPr>
        <w:spacing w:after="0" w:before="280"/>
      </w:pP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3600"/>
        <w:gridCol w:w="3600"/>
      </w:tblGrid>
      <w:tr>
        <w:tc>
          <w:tcPr>
            <w:tcW w:type="dxa" w:w="3600"/>
            <w:tcBorders>
              <w:top w:val="single" w:color="CCCCCC" w:sz="1"/>
              <w:left w:val="single" w:color="CCCCCC" w:sz="1"/>
              <w:bottom w:val="single" w:color="CCCCCC" w:sz="1"/>
              <w:right w:val="single" w:color="CCCCCC" w:sz="1"/>
            </w:tcBorders>
            <w:shd w:fill="F0F5FA" w:val="clear"/>
            <w:tcMar>
              <w:top w:type="dxa" w:w="100"/>
              <w:left w:type="dxa" w:w="160"/>
              <w:bottom w:type="dxa" w:w="100"/>
              <w:right w:type="dxa" w:w="160"/>
            </w:tcMar>
          </w:tcPr>
          <w:p>
            <w:r>
              <w:rPr>
                <w:rFonts w:ascii="Arial" w:cs="Arial" w:eastAsia="Arial" w:hAnsi="Arial"/>
                <w:b/>
                <w:bCs/>
                <w:color w:val="1F4E79"/>
                <w:sz w:val="20"/>
                <w:szCs w:val="20"/>
              </w:rPr>
              <w:t xml:space="preserve">Document Type</w:t>
            </w:r>
          </w:p>
          <w:p>
            <w:r>
              <w:rPr>
                <w:rFonts w:ascii="Arial" w:cs="Arial" w:eastAsia="Arial" w:hAnsi="Arial"/>
                <w:color w:val="1A1A1A"/>
                <w:sz w:val="20"/>
                <w:szCs w:val="20"/>
              </w:rPr>
              <w:t xml:space="preserve">Technical Reference Blueprint</w:t>
            </w:r>
          </w:p>
        </w:tc>
        <w:tc>
          <w:tcPr>
            <w:tcW w:type="dxa" w:w="3600"/>
            <w:tcBorders>
              <w:top w:val="single" w:color="CCCCCC" w:sz="1"/>
              <w:left w:val="single" w:color="CCCCCC" w:sz="1"/>
              <w:bottom w:val="single" w:color="CCCCCC" w:sz="1"/>
              <w:right w:val="single" w:color="CCCCCC" w:sz="1"/>
            </w:tcBorders>
            <w:shd w:fill="F0F5FA" w:val="clear"/>
            <w:tcMar>
              <w:top w:type="dxa" w:w="100"/>
              <w:left w:type="dxa" w:w="160"/>
              <w:bottom w:type="dxa" w:w="100"/>
              <w:right w:type="dxa" w:w="160"/>
            </w:tcMar>
          </w:tcPr>
          <w:p>
            <w:r>
              <w:rPr>
                <w:rFonts w:ascii="Arial" w:cs="Arial" w:eastAsia="Arial" w:hAnsi="Arial"/>
                <w:b/>
                <w:bCs/>
                <w:color w:val="1F4E79"/>
                <w:sz w:val="20"/>
                <w:szCs w:val="20"/>
              </w:rPr>
              <w:t xml:space="preserve">Version</w:t>
            </w:r>
          </w:p>
          <w:p>
            <w:r>
              <w:rPr>
                <w:rFonts w:ascii="Arial" w:cs="Arial" w:eastAsia="Arial" w:hAnsi="Arial"/>
                <w:color w:val="1A1A1A"/>
                <w:sz w:val="20"/>
                <w:szCs w:val="20"/>
              </w:rPr>
              <w:t xml:space="preserve">1.0 — Initial Release</w:t>
            </w:r>
          </w:p>
        </w:tc>
      </w:tr>
      <w:tr>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color w:val="1F4E79"/>
                <w:sz w:val="20"/>
                <w:szCs w:val="20"/>
              </w:rPr>
              <w:t xml:space="preserve">Audience</w:t>
            </w:r>
          </w:p>
          <w:p>
            <w:r>
              <w:rPr>
                <w:rFonts w:ascii="Arial" w:cs="Arial" w:eastAsia="Arial" w:hAnsi="Arial"/>
                <w:color w:val="1A1A1A"/>
                <w:sz w:val="20"/>
                <w:szCs w:val="20"/>
              </w:rPr>
              <w:t xml:space="preserve">Azure Migration Engineers, Cloud Architects, Programme Leads</w:t>
            </w:r>
          </w:p>
        </w:tc>
        <w:tc>
          <w:tcPr>
            <w:tcW w:type="dxa" w:w="36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color w:val="1F4E79"/>
                <w:sz w:val="20"/>
                <w:szCs w:val="20"/>
              </w:rPr>
              <w:t xml:space="preserve">Classification</w:t>
            </w:r>
          </w:p>
          <w:p>
            <w:r>
              <w:rPr>
                <w:rFonts w:ascii="Arial" w:cs="Arial" w:eastAsia="Arial" w:hAnsi="Arial"/>
                <w:color w:val="1A1A1A"/>
                <w:sz w:val="20"/>
                <w:szCs w:val="20"/>
              </w:rPr>
              <w:t xml:space="preserve">Internal — Enterprise Use</w:t>
            </w:r>
          </w:p>
        </w:tc>
      </w:tr>
    </w:tbl>
    <w:p>
      <w:pPr>
        <w:spacing w:after="0" w:before="3200"/>
      </w:pPr>
    </w:p>
    <w:p>
      <w:r>
        <w:br w:type="page"/>
      </w:r>
    </w:p>
    <w:p>
      <w:pPr>
        <w:spacing w:after="120" w:before="0"/>
      </w:pPr>
      <w:r>
        <w:rPr>
          <w:rFonts w:ascii="Arial" w:cs="Arial" w:eastAsia="Arial" w:hAnsi="Arial"/>
          <w:b/>
          <w:bCs/>
          <w:color w:val="0D2B4E"/>
          <w:sz w:val="32"/>
          <w:szCs w:val="32"/>
        </w:rPr>
        <w:t xml:space="preserve">Table of Contents</w:t>
      </w:r>
    </w:p>
    <w:p>
      <w:pPr>
        <w:pBdr>
          <w:bottom w:val="single" w:color="2E75B6" w:sz="8" w:space="1"/>
        </w:pBdr>
        <w:spacing w:after="60" w:before="60"/>
      </w:pPr>
    </w:p>
    <w:p>
      <w:pPr>
        <w:spacing w:after="0" w:before="80"/>
      </w:pP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shd w:fill="0D2B4E" w:val="clear"/>
        <w:spacing w:after="120" w:before="0"/>
        <w:ind w:left="240" w:right="240"/>
      </w:pPr>
      <w:bookmarkStart w:name="s1" w:id="1"/>
      <w:r>
        <w:rPr>
          <w:rFonts w:ascii="Arial" w:cs="Arial" w:eastAsia="Arial" w:hAnsi="Arial"/>
          <w:b/>
          <w:bCs/>
          <w:color w:val="FFFFFF"/>
          <w:sz w:val="36"/>
          <w:szCs w:val="36"/>
        </w:rPr>
        <w:t xml:space="preserve">1.  Purpose &amp; Scope</w:t>
      </w:r>
      <w:bookmarkEnd w:id="1000"/>
    </w:p>
    <w:p>
      <w:pPr>
        <w:spacing w:after="0" w:before="80"/>
      </w:pPr>
    </w:p>
    <w:p>
      <w:pPr>
        <w:spacing w:after="60" w:before="60"/>
      </w:pPr>
      <w:r>
        <w:rPr>
          <w:rFonts w:ascii="Arial" w:cs="Arial" w:eastAsia="Arial" w:hAnsi="Arial"/>
          <w:color w:val="1A1A1A"/>
          <w:sz w:val="20"/>
          <w:szCs w:val="20"/>
        </w:rPr>
        <w:t xml:space="preserve">This Technical Reference Blueprint defines the skills, responsibilities, patterns, automation standards, governance frameworks, and delivery practices required of an Azure Migration Engineer operating within large-scale enterprise cloud migration programmes. It is designed to be used as both an onboarding guide and a living operational reference, covering every phase from discovery through to operationalisation.</w:t>
      </w:r>
    </w:p>
    <w:p>
      <w:pPr>
        <w:spacing w:after="0" w:before="60"/>
      </w:pPr>
    </w:p>
    <w:p>
      <w:pPr>
        <w:spacing w:after="60" w:before="280"/>
      </w:pPr>
      <w:bookmarkStart w:name="s11" w:id="2"/>
      <w:r>
        <w:rPr>
          <w:rFonts w:ascii="Arial" w:cs="Arial" w:eastAsia="Arial" w:hAnsi="Arial"/>
          <w:b/>
          <w:bCs/>
          <w:color w:val="1F4E79"/>
          <w:sz w:val="28"/>
          <w:szCs w:val="28"/>
        </w:rPr>
        <w:t xml:space="preserve">1.1  Document Objectives</w:t>
      </w:r>
      <w:bookmarkEnd w:id="1001"/>
    </w:p>
    <w:p>
      <w:pPr>
        <w:pBdr>
          <w:bottom w:val="single" w:color="2E75B6" w:sz="6" w:space="1"/>
        </w:pBdr>
        <w:spacing w:after="60" w:before="60"/>
      </w:pPr>
    </w:p>
    <w:p>
      <w:pPr>
        <w:pStyle w:val="ListParagraph"/>
        <w:numPr>
          <w:ilvl w:val="0"/>
          <w:numId w:val="2"/>
        </w:numPr>
        <w:spacing w:after="40" w:before="40"/>
      </w:pPr>
      <w:r>
        <w:rPr>
          <w:rFonts w:ascii="Arial" w:cs="Arial" w:eastAsia="Arial" w:hAnsi="Arial"/>
          <w:color w:val="1A1A1A"/>
          <w:sz w:val="20"/>
          <w:szCs w:val="20"/>
        </w:rPr>
        <w:t xml:space="preserve">Establish a canonical reference for migration engineering skills and expected competencies.</w:t>
      </w:r>
    </w:p>
    <w:p>
      <w:pPr>
        <w:pStyle w:val="ListParagraph"/>
        <w:numPr>
          <w:ilvl w:val="0"/>
          <w:numId w:val="2"/>
        </w:numPr>
        <w:spacing w:after="40" w:before="40"/>
      </w:pPr>
      <w:r>
        <w:rPr>
          <w:rFonts w:ascii="Arial" w:cs="Arial" w:eastAsia="Arial" w:hAnsi="Arial"/>
          <w:color w:val="1A1A1A"/>
          <w:sz w:val="20"/>
          <w:szCs w:val="20"/>
        </w:rPr>
        <w:t xml:space="preserve">Define reusable, repeatable migration and governance patterns suitable for multi-wave programmes.</w:t>
      </w:r>
    </w:p>
    <w:p>
      <w:pPr>
        <w:pStyle w:val="ListParagraph"/>
        <w:numPr>
          <w:ilvl w:val="0"/>
          <w:numId w:val="2"/>
        </w:numPr>
        <w:spacing w:after="40" w:before="40"/>
      </w:pPr>
      <w:r>
        <w:rPr>
          <w:rFonts w:ascii="Arial" w:cs="Arial" w:eastAsia="Arial" w:hAnsi="Arial"/>
          <w:color w:val="1A1A1A"/>
          <w:sz w:val="20"/>
          <w:szCs w:val="20"/>
        </w:rPr>
        <w:t xml:space="preserve">Standardise CI/CD pipeline design, IaC automation, and compliance guardrails across migration workstreams.</w:t>
      </w:r>
    </w:p>
    <w:p>
      <w:pPr>
        <w:pStyle w:val="ListParagraph"/>
        <w:numPr>
          <w:ilvl w:val="0"/>
          <w:numId w:val="2"/>
        </w:numPr>
        <w:spacing w:after="40" w:before="40"/>
      </w:pPr>
      <w:r>
        <w:rPr>
          <w:rFonts w:ascii="Arial" w:cs="Arial" w:eastAsia="Arial" w:hAnsi="Arial"/>
          <w:color w:val="1A1A1A"/>
          <w:sz w:val="20"/>
          <w:szCs w:val="20"/>
        </w:rPr>
        <w:t xml:space="preserve">Provide sprint delivery guidance, CI/testing standards, and knowledge transfer practices.</w:t>
      </w:r>
    </w:p>
    <w:p>
      <w:pPr>
        <w:pStyle w:val="ListParagraph"/>
        <w:numPr>
          <w:ilvl w:val="0"/>
          <w:numId w:val="2"/>
        </w:numPr>
        <w:spacing w:after="40" w:before="40"/>
      </w:pPr>
      <w:r>
        <w:rPr>
          <w:rFonts w:ascii="Arial" w:cs="Arial" w:eastAsia="Arial" w:hAnsi="Arial"/>
          <w:color w:val="1A1A1A"/>
          <w:sz w:val="20"/>
          <w:szCs w:val="20"/>
        </w:rPr>
        <w:t xml:space="preserve">Enable consistent operationalisation of migrated workloads at scale.</w:t>
      </w:r>
    </w:p>
    <w:p>
      <w:pPr>
        <w:spacing w:after="0" w:before="80"/>
      </w:pPr>
    </w:p>
    <w:p>
      <w:pPr>
        <w:spacing w:after="60" w:before="280"/>
      </w:pPr>
      <w:bookmarkStart w:name="s12" w:id="3"/>
      <w:r>
        <w:rPr>
          <w:rFonts w:ascii="Arial" w:cs="Arial" w:eastAsia="Arial" w:hAnsi="Arial"/>
          <w:b/>
          <w:bCs/>
          <w:color w:val="1F4E79"/>
          <w:sz w:val="28"/>
          <w:szCs w:val="28"/>
        </w:rPr>
        <w:t xml:space="preserve">1.2  In Scope</w:t>
      </w:r>
      <w:bookmarkEnd w:id="1002"/>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Domain</w:t>
            </w:r>
          </w:p>
        </w:tc>
        <w:tc>
          <w:tcPr>
            <w:tcW w:type="dxa" w:w="61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Coverage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Migrate &amp; Assessment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Discovery tooling, dependency mapping, readiness scoring, wave planning</w:t>
            </w:r>
          </w:p>
        </w:tc>
      </w:tr>
      <w:tr>
        <w:tc>
          <w:tcPr>
            <w:tcW w:type="dxa" w:w="3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Migration Patterns</w:t>
            </w:r>
          </w:p>
        </w:tc>
        <w:tc>
          <w:tcPr>
            <w:tcW w:type="dxa" w:w="61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Rehost, refactor, rearchitect, retire — with IaC templates per pattern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Governance &amp; Compliance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Policy, Blueprints, RBAC, FinOps, security baselines</w:t>
            </w:r>
          </w:p>
        </w:tc>
      </w:tr>
      <w:tr>
        <w:tc>
          <w:tcPr>
            <w:tcW w:type="dxa" w:w="3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DevOps &amp; CI/CD</w:t>
            </w:r>
          </w:p>
        </w:tc>
        <w:tc>
          <w:tcPr>
            <w:tcW w:type="dxa" w:w="61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Pipeline design, GitOps, Terraform automation, testing gates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Sprint Delivery</w:t>
            </w:r>
          </w:p>
        </w:tc>
        <w:tc>
          <w:tcPr>
            <w:tcW w:type="dxa" w:w="6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Agile delivery cadence, backlog management, acceptance criteria</w:t>
            </w:r>
          </w:p>
        </w:tc>
      </w:tr>
      <w:tr>
        <w:tc>
          <w:tcPr>
            <w:tcW w:type="dxa" w:w="3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Knowledge Transfer</w:t>
            </w:r>
          </w:p>
        </w:tc>
        <w:tc>
          <w:tcPr>
            <w:tcW w:type="dxa" w:w="61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Documentation standards, workshops, runbook authoring</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Operationalisation</w:t>
            </w:r>
          </w:p>
        </w:tc>
        <w:tc>
          <w:tcPr>
            <w:tcW w:type="dxa" w:w="6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SLO/SLI frameworks, DR design, monitoring, handover standards</w:t>
            </w:r>
          </w:p>
        </w:tc>
      </w:tr>
    </w:tbl>
    <w:p>
      <w:pPr>
        <w:spacing w:after="0" w:before="80"/>
      </w:pPr>
    </w:p>
    <w:p>
      <w:r>
        <w:br w:type="page"/>
      </w:r>
    </w:p>
    <w:p>
      <w:pPr>
        <w:shd w:fill="0D2B4E" w:val="clear"/>
        <w:spacing w:after="120" w:before="0"/>
        <w:ind w:left="240" w:right="240"/>
      </w:pPr>
      <w:bookmarkStart w:name="s2" w:id="4"/>
      <w:r>
        <w:rPr>
          <w:rFonts w:ascii="Arial" w:cs="Arial" w:eastAsia="Arial" w:hAnsi="Arial"/>
          <w:b/>
          <w:bCs/>
          <w:color w:val="FFFFFF"/>
          <w:sz w:val="36"/>
          <w:szCs w:val="36"/>
        </w:rPr>
        <w:t xml:space="preserve">2.  Role Definition &amp; Responsibilities</w:t>
      </w:r>
      <w:bookmarkEnd w:id="1003"/>
    </w:p>
    <w:p>
      <w:pPr>
        <w:spacing w:after="0" w:before="80"/>
      </w:pPr>
    </w:p>
    <w:p>
      <w:pPr>
        <w:spacing w:after="60" w:before="60"/>
      </w:pPr>
      <w:r>
        <w:rPr>
          <w:rFonts w:ascii="Arial" w:cs="Arial" w:eastAsia="Arial" w:hAnsi="Arial"/>
          <w:color w:val="1A1A1A"/>
          <w:sz w:val="20"/>
          <w:szCs w:val="20"/>
        </w:rPr>
        <w:t xml:space="preserve">The Azure Migration Engineer is a specialist practitioner responsible for designing, automating, governing, and delivering the technical execution of Azure cloud migration programmes. The role spans both hands-on engineering and programme-level pattern leadership.</w:t>
      </w:r>
    </w:p>
    <w:p>
      <w:pPr>
        <w:spacing w:after="0" w:before="80"/>
      </w:pPr>
    </w:p>
    <w:p>
      <w:pPr>
        <w:spacing w:after="60" w:before="280"/>
      </w:pPr>
      <w:bookmarkStart w:name="s21" w:id="5"/>
      <w:r>
        <w:rPr>
          <w:rFonts w:ascii="Arial" w:cs="Arial" w:eastAsia="Arial" w:hAnsi="Arial"/>
          <w:b/>
          <w:bCs/>
          <w:color w:val="1F4E79"/>
          <w:sz w:val="28"/>
          <w:szCs w:val="28"/>
        </w:rPr>
        <w:t xml:space="preserve">2.1  Core Responsibility Areas</w:t>
      </w:r>
      <w:bookmarkEnd w:id="1004"/>
    </w:p>
    <w:p>
      <w:pPr>
        <w:pBdr>
          <w:bottom w:val="single" w:color="2E75B6" w:sz="6" w:space="1"/>
        </w:pBdr>
        <w:spacing w:after="60" w:before="60"/>
      </w:pPr>
    </w:p>
    <w:p>
      <w:pPr>
        <w:spacing w:after="0" w:before="60"/>
      </w:pPr>
    </w:p>
    <w:p>
      <w:pPr>
        <w:spacing w:after="60" w:before="200"/>
      </w:pPr>
      <w:r>
        <w:rPr>
          <w:rFonts w:ascii="Arial" w:cs="Arial" w:eastAsia="Arial" w:hAnsi="Arial"/>
          <w:b/>
          <w:bCs/>
          <w:color w:val="007B8A"/>
          <w:sz w:val="22"/>
          <w:szCs w:val="22"/>
        </w:rPr>
        <w:t xml:space="preserve">Pattern Development &amp; Reusable Framework Ownership</w:t>
      </w:r>
    </w:p>
    <w:p>
      <w:pPr>
        <w:pStyle w:val="ListParagraph"/>
        <w:numPr>
          <w:ilvl w:val="0"/>
          <w:numId w:val="2"/>
        </w:numPr>
        <w:spacing w:after="40" w:before="40"/>
      </w:pPr>
      <w:r>
        <w:rPr>
          <w:rFonts w:ascii="Arial" w:cs="Arial" w:eastAsia="Arial" w:hAnsi="Arial"/>
          <w:color w:val="1A1A1A"/>
          <w:sz w:val="20"/>
          <w:szCs w:val="20"/>
        </w:rPr>
        <w:t xml:space="preserve">Design, build, and maintain a versioned Terraform module library covering all migration pattern archetypes (rehost, refactor, rearchitect).</w:t>
      </w:r>
    </w:p>
    <w:p>
      <w:pPr>
        <w:pStyle w:val="ListParagraph"/>
        <w:numPr>
          <w:ilvl w:val="0"/>
          <w:numId w:val="2"/>
        </w:numPr>
        <w:spacing w:after="40" w:before="40"/>
      </w:pPr>
      <w:r>
        <w:rPr>
          <w:rFonts w:ascii="Arial" w:cs="Arial" w:eastAsia="Arial" w:hAnsi="Arial"/>
          <w:color w:val="1A1A1A"/>
          <w:sz w:val="20"/>
          <w:szCs w:val="20"/>
        </w:rPr>
        <w:t xml:space="preserve">Develop migration runbooks, decision trees, and IaC templates for each pattern — parameterised for multi-environment (DEV/QA/PROD) promotion.</w:t>
      </w:r>
    </w:p>
    <w:p>
      <w:pPr>
        <w:pStyle w:val="ListParagraph"/>
        <w:numPr>
          <w:ilvl w:val="0"/>
          <w:numId w:val="2"/>
        </w:numPr>
        <w:spacing w:after="40" w:before="40"/>
      </w:pPr>
      <w:r>
        <w:rPr>
          <w:rFonts w:ascii="Arial" w:cs="Arial" w:eastAsia="Arial" w:hAnsi="Arial"/>
          <w:color w:val="1A1A1A"/>
          <w:sz w:val="20"/>
          <w:szCs w:val="20"/>
        </w:rPr>
        <w:t xml:space="preserve">Own the pattern registry in Azure Repos; govern versioning, deprecation, and consumption standards across workstreams.</w:t>
      </w:r>
    </w:p>
    <w:p>
      <w:pPr>
        <w:pStyle w:val="ListParagraph"/>
        <w:numPr>
          <w:ilvl w:val="0"/>
          <w:numId w:val="2"/>
        </w:numPr>
        <w:spacing w:after="40" w:before="40"/>
      </w:pPr>
      <w:r>
        <w:rPr>
          <w:rFonts w:ascii="Arial" w:cs="Arial" w:eastAsia="Arial" w:hAnsi="Arial"/>
          <w:color w:val="1A1A1A"/>
          <w:sz w:val="20"/>
          <w:szCs w:val="20"/>
        </w:rPr>
        <w:t xml:space="preserve">Identify repeating infrastructure components across migration waves and abstract them into reusable, tested modules.</w:t>
      </w:r>
    </w:p>
    <w:p>
      <w:pPr>
        <w:spacing w:after="0" w:before="60"/>
      </w:pPr>
    </w:p>
    <w:p>
      <w:pPr>
        <w:spacing w:after="60" w:before="200"/>
      </w:pPr>
      <w:r>
        <w:rPr>
          <w:rFonts w:ascii="Arial" w:cs="Arial" w:eastAsia="Arial" w:hAnsi="Arial"/>
          <w:b/>
          <w:bCs/>
          <w:color w:val="007B8A"/>
          <w:sz w:val="22"/>
          <w:szCs w:val="22"/>
        </w:rPr>
        <w:t xml:space="preserve">Automation Engineering</w:t>
      </w:r>
    </w:p>
    <w:p>
      <w:pPr>
        <w:pStyle w:val="ListParagraph"/>
        <w:numPr>
          <w:ilvl w:val="0"/>
          <w:numId w:val="2"/>
        </w:numPr>
        <w:spacing w:after="40" w:before="40"/>
      </w:pPr>
      <w:r>
        <w:rPr>
          <w:rFonts w:ascii="Arial" w:cs="Arial" w:eastAsia="Arial" w:hAnsi="Arial"/>
          <w:color w:val="1A1A1A"/>
          <w:sz w:val="20"/>
          <w:szCs w:val="20"/>
        </w:rPr>
        <w:t xml:space="preserve">Build Azure DevOps pipeline templates for Terraform-based migration deployments (lint, validate, plan, approval gates, apply, smoke test stages).</w:t>
      </w:r>
    </w:p>
    <w:p>
      <w:pPr>
        <w:pStyle w:val="ListParagraph"/>
        <w:numPr>
          <w:ilvl w:val="0"/>
          <w:numId w:val="2"/>
        </w:numPr>
        <w:spacing w:after="40" w:before="40"/>
      </w:pPr>
      <w:r>
        <w:rPr>
          <w:rFonts w:ascii="Arial" w:cs="Arial" w:eastAsia="Arial" w:hAnsi="Arial"/>
          <w:color w:val="1A1A1A"/>
          <w:sz w:val="20"/>
          <w:szCs w:val="20"/>
        </w:rPr>
        <w:t xml:space="preserve">Automate Azure Migrate assessment output processing: PowerShell/Python scripts to generate wave prioritisation, cost estimates, and dependency reports.</w:t>
      </w:r>
    </w:p>
    <w:p>
      <w:pPr>
        <w:pStyle w:val="ListParagraph"/>
        <w:numPr>
          <w:ilvl w:val="0"/>
          <w:numId w:val="2"/>
        </w:numPr>
        <w:spacing w:after="40" w:before="40"/>
      </w:pPr>
      <w:r>
        <w:rPr>
          <w:rFonts w:ascii="Arial" w:cs="Arial" w:eastAsia="Arial" w:hAnsi="Arial"/>
          <w:color w:val="1A1A1A"/>
          <w:sz w:val="20"/>
          <w:szCs w:val="20"/>
        </w:rPr>
        <w:t xml:space="preserve">Automate compliance checks, policy assignment validation, and tagging enforcement within pipeline execution.</w:t>
      </w:r>
    </w:p>
    <w:p>
      <w:pPr>
        <w:pStyle w:val="ListParagraph"/>
        <w:numPr>
          <w:ilvl w:val="0"/>
          <w:numId w:val="2"/>
        </w:numPr>
        <w:spacing w:after="40" w:before="40"/>
      </w:pPr>
      <w:r>
        <w:rPr>
          <w:rFonts w:ascii="Arial" w:cs="Arial" w:eastAsia="Arial" w:hAnsi="Arial"/>
          <w:color w:val="1A1A1A"/>
          <w:sz w:val="20"/>
          <w:szCs w:val="20"/>
        </w:rPr>
        <w:t xml:space="preserve">Script post-migration smoke tests and configuration validation integrated into CD pipelines.</w:t>
      </w:r>
    </w:p>
    <w:p>
      <w:pPr>
        <w:spacing w:after="0" w:before="60"/>
      </w:pPr>
    </w:p>
    <w:p>
      <w:pPr>
        <w:spacing w:after="60" w:before="200"/>
      </w:pPr>
      <w:r>
        <w:rPr>
          <w:rFonts w:ascii="Arial" w:cs="Arial" w:eastAsia="Arial" w:hAnsi="Arial"/>
          <w:b/>
          <w:bCs/>
          <w:color w:val="007B8A"/>
          <w:sz w:val="22"/>
          <w:szCs w:val="22"/>
        </w:rPr>
        <w:t xml:space="preserve">Sprint Delivery</w:t>
      </w:r>
    </w:p>
    <w:p>
      <w:pPr>
        <w:pStyle w:val="ListParagraph"/>
        <w:numPr>
          <w:ilvl w:val="0"/>
          <w:numId w:val="2"/>
        </w:numPr>
        <w:spacing w:after="40" w:before="40"/>
      </w:pPr>
      <w:r>
        <w:rPr>
          <w:rFonts w:ascii="Arial" w:cs="Arial" w:eastAsia="Arial" w:hAnsi="Arial"/>
          <w:color w:val="1A1A1A"/>
          <w:sz w:val="20"/>
          <w:szCs w:val="20"/>
        </w:rPr>
        <w:t xml:space="preserve">Translate migration wave scope into Azure Boards epics, features, and user stories with clear acceptance criteria and Definition of Done.</w:t>
      </w:r>
    </w:p>
    <w:p>
      <w:pPr>
        <w:pStyle w:val="ListParagraph"/>
        <w:numPr>
          <w:ilvl w:val="0"/>
          <w:numId w:val="2"/>
        </w:numPr>
        <w:spacing w:after="40" w:before="40"/>
      </w:pPr>
      <w:r>
        <w:rPr>
          <w:rFonts w:ascii="Arial" w:cs="Arial" w:eastAsia="Arial" w:hAnsi="Arial"/>
          <w:color w:val="1A1A1A"/>
          <w:sz w:val="20"/>
          <w:szCs w:val="20"/>
        </w:rPr>
        <w:t xml:space="preserve">Deliver IaC pattern stories, governance spikes, and remediation tasks within 2-week sprint cadence.</w:t>
      </w:r>
    </w:p>
    <w:p>
      <w:pPr>
        <w:pStyle w:val="ListParagraph"/>
        <w:numPr>
          <w:ilvl w:val="0"/>
          <w:numId w:val="2"/>
        </w:numPr>
        <w:spacing w:after="40" w:before="40"/>
      </w:pPr>
      <w:r>
        <w:rPr>
          <w:rFonts w:ascii="Arial" w:cs="Arial" w:eastAsia="Arial" w:hAnsi="Arial"/>
          <w:color w:val="1A1A1A"/>
          <w:sz w:val="20"/>
          <w:szCs w:val="20"/>
        </w:rPr>
        <w:t xml:space="preserve">Lead sprint ceremonies: planning, daily stand-up, review, and retrospective for migration engineering workstreams.</w:t>
      </w:r>
    </w:p>
    <w:p>
      <w:pPr>
        <w:pStyle w:val="ListParagraph"/>
        <w:numPr>
          <w:ilvl w:val="0"/>
          <w:numId w:val="2"/>
        </w:numPr>
        <w:spacing w:after="40" w:before="40"/>
      </w:pPr>
      <w:r>
        <w:rPr>
          <w:rFonts w:ascii="Arial" w:cs="Arial" w:eastAsia="Arial" w:hAnsi="Arial"/>
          <w:color w:val="1A1A1A"/>
          <w:sz w:val="20"/>
          <w:szCs w:val="20"/>
        </w:rPr>
        <w:t xml:space="preserve">Maintain sprint velocity metrics and escalate blockers (dependency, access, environment) promptly.</w:t>
      </w:r>
    </w:p>
    <w:p>
      <w:pPr>
        <w:spacing w:after="0" w:before="60"/>
      </w:pPr>
    </w:p>
    <w:p>
      <w:pPr>
        <w:spacing w:after="60" w:before="200"/>
      </w:pPr>
      <w:r>
        <w:rPr>
          <w:rFonts w:ascii="Arial" w:cs="Arial" w:eastAsia="Arial" w:hAnsi="Arial"/>
          <w:b/>
          <w:bCs/>
          <w:color w:val="007B8A"/>
          <w:sz w:val="22"/>
          <w:szCs w:val="22"/>
        </w:rPr>
        <w:t xml:space="preserve">Compliance &amp; Governance</w:t>
      </w:r>
    </w:p>
    <w:p>
      <w:pPr>
        <w:pStyle w:val="ListParagraph"/>
        <w:numPr>
          <w:ilvl w:val="0"/>
          <w:numId w:val="2"/>
        </w:numPr>
        <w:spacing w:after="40" w:before="40"/>
      </w:pPr>
      <w:r>
        <w:rPr>
          <w:rFonts w:ascii="Arial" w:cs="Arial" w:eastAsia="Arial" w:hAnsi="Arial"/>
          <w:color w:val="1A1A1A"/>
          <w:sz w:val="20"/>
          <w:szCs w:val="20"/>
        </w:rPr>
        <w:t xml:space="preserve">Implement and enforce Azure Policy guardrails aligned to programme security baselines and regulatory requirements (ISO 27001, GDPR, CIS).</w:t>
      </w:r>
    </w:p>
    <w:p>
      <w:pPr>
        <w:pStyle w:val="ListParagraph"/>
        <w:numPr>
          <w:ilvl w:val="0"/>
          <w:numId w:val="2"/>
        </w:numPr>
        <w:spacing w:after="40" w:before="40"/>
      </w:pPr>
      <w:r>
        <w:rPr>
          <w:rFonts w:ascii="Arial" w:cs="Arial" w:eastAsia="Arial" w:hAnsi="Arial"/>
          <w:color w:val="1A1A1A"/>
          <w:sz w:val="20"/>
          <w:szCs w:val="20"/>
        </w:rPr>
        <w:t xml:space="preserve">Deploy Azure Blueprints to codify compliance standards across Landing Zone subscriptions.</w:t>
      </w:r>
    </w:p>
    <w:p>
      <w:pPr>
        <w:pStyle w:val="ListParagraph"/>
        <w:numPr>
          <w:ilvl w:val="0"/>
          <w:numId w:val="2"/>
        </w:numPr>
        <w:spacing w:after="40" w:before="40"/>
      </w:pPr>
      <w:r>
        <w:rPr>
          <w:rFonts w:ascii="Arial" w:cs="Arial" w:eastAsia="Arial" w:hAnsi="Arial"/>
          <w:color w:val="1A1A1A"/>
          <w:sz w:val="20"/>
          <w:szCs w:val="20"/>
        </w:rPr>
        <w:t xml:space="preserve">Establish FinOps tagging taxonomy and cost allocation framework; report on migrated workload spend vs. forecast.</w:t>
      </w:r>
    </w:p>
    <w:p>
      <w:pPr>
        <w:pStyle w:val="ListParagraph"/>
        <w:numPr>
          <w:ilvl w:val="0"/>
          <w:numId w:val="2"/>
        </w:numPr>
        <w:spacing w:after="40" w:before="40"/>
      </w:pPr>
      <w:r>
        <w:rPr>
          <w:rFonts w:ascii="Arial" w:cs="Arial" w:eastAsia="Arial" w:hAnsi="Arial"/>
          <w:color w:val="1A1A1A"/>
          <w:sz w:val="20"/>
          <w:szCs w:val="20"/>
        </w:rPr>
        <w:t xml:space="preserve">Conduct architecture governance reviews against Architecture Review Board (ARB) standards prior to each wave go-live.</w:t>
      </w:r>
    </w:p>
    <w:p>
      <w:pPr>
        <w:spacing w:after="0" w:before="60"/>
      </w:pPr>
    </w:p>
    <w:p>
      <w:pPr>
        <w:spacing w:after="60" w:before="200"/>
      </w:pPr>
      <w:r>
        <w:rPr>
          <w:rFonts w:ascii="Arial" w:cs="Arial" w:eastAsia="Arial" w:hAnsi="Arial"/>
          <w:b/>
          <w:bCs/>
          <w:color w:val="007B8A"/>
          <w:sz w:val="22"/>
          <w:szCs w:val="22"/>
        </w:rPr>
        <w:t xml:space="preserve">CI/Testing</w:t>
      </w:r>
    </w:p>
    <w:p>
      <w:pPr>
        <w:pStyle w:val="ListParagraph"/>
        <w:numPr>
          <w:ilvl w:val="0"/>
          <w:numId w:val="2"/>
        </w:numPr>
        <w:spacing w:after="40" w:before="40"/>
      </w:pPr>
      <w:r>
        <w:rPr>
          <w:rFonts w:ascii="Arial" w:cs="Arial" w:eastAsia="Arial" w:hAnsi="Arial"/>
          <w:color w:val="1A1A1A"/>
          <w:sz w:val="20"/>
          <w:szCs w:val="20"/>
        </w:rPr>
        <w:t xml:space="preserve">Enforce Terraform plan review as a mandatory PR gate; prevent direct apply without peer approval.</w:t>
      </w:r>
    </w:p>
    <w:p>
      <w:pPr>
        <w:pStyle w:val="ListParagraph"/>
        <w:numPr>
          <w:ilvl w:val="0"/>
          <w:numId w:val="2"/>
        </w:numPr>
        <w:spacing w:after="40" w:before="40"/>
      </w:pPr>
      <w:r>
        <w:rPr>
          <w:rFonts w:ascii="Arial" w:cs="Arial" w:eastAsia="Arial" w:hAnsi="Arial"/>
          <w:color w:val="1A1A1A"/>
          <w:sz w:val="20"/>
          <w:szCs w:val="20"/>
        </w:rPr>
        <w:t xml:space="preserve">Integrate SonarQube SAST, tflint, tfsec, and Checkov static analysis into all pipeline runs.</w:t>
      </w:r>
    </w:p>
    <w:p>
      <w:pPr>
        <w:pStyle w:val="ListParagraph"/>
        <w:numPr>
          <w:ilvl w:val="0"/>
          <w:numId w:val="2"/>
        </w:numPr>
        <w:spacing w:after="40" w:before="40"/>
      </w:pPr>
      <w:r>
        <w:rPr>
          <w:rFonts w:ascii="Arial" w:cs="Arial" w:eastAsia="Arial" w:hAnsi="Arial"/>
          <w:color w:val="1A1A1A"/>
          <w:sz w:val="20"/>
          <w:szCs w:val="20"/>
        </w:rPr>
        <w:t xml:space="preserve">Design and execute infrastructure integration tests (Terratest or native Azure CLI validation) post-apply.</w:t>
      </w:r>
    </w:p>
    <w:p>
      <w:pPr>
        <w:pStyle w:val="ListParagraph"/>
        <w:numPr>
          <w:ilvl w:val="0"/>
          <w:numId w:val="2"/>
        </w:numPr>
        <w:spacing w:after="40" w:before="40"/>
      </w:pPr>
      <w:r>
        <w:rPr>
          <w:rFonts w:ascii="Arial" w:cs="Arial" w:eastAsia="Arial" w:hAnsi="Arial"/>
          <w:color w:val="1A1A1A"/>
          <w:sz w:val="20"/>
          <w:szCs w:val="20"/>
        </w:rPr>
        <w:t xml:space="preserve">Build post-migration smoke test suites validating connectivity, DNS resolution, application health, and security posture.</w:t>
      </w:r>
    </w:p>
    <w:p>
      <w:pPr>
        <w:spacing w:after="0" w:before="60"/>
      </w:pPr>
    </w:p>
    <w:p>
      <w:pPr>
        <w:spacing w:after="60" w:before="200"/>
      </w:pPr>
      <w:r>
        <w:rPr>
          <w:rFonts w:ascii="Arial" w:cs="Arial" w:eastAsia="Arial" w:hAnsi="Arial"/>
          <w:b/>
          <w:bCs/>
          <w:color w:val="007B8A"/>
          <w:sz w:val="22"/>
          <w:szCs w:val="22"/>
        </w:rPr>
        <w:t xml:space="preserve">Knowledge Transfer</w:t>
      </w:r>
    </w:p>
    <w:p>
      <w:pPr>
        <w:pStyle w:val="ListParagraph"/>
        <w:numPr>
          <w:ilvl w:val="0"/>
          <w:numId w:val="2"/>
        </w:numPr>
        <w:spacing w:after="40" w:before="40"/>
      </w:pPr>
      <w:r>
        <w:rPr>
          <w:rFonts w:ascii="Arial" w:cs="Arial" w:eastAsia="Arial" w:hAnsi="Arial"/>
          <w:color w:val="1A1A1A"/>
          <w:sz w:val="20"/>
          <w:szCs w:val="20"/>
        </w:rPr>
        <w:t xml:space="preserve">Author and maintain a migration engineering wiki covering IaC standards, pipeline patterns, and governance frameworks.</w:t>
      </w:r>
    </w:p>
    <w:p>
      <w:pPr>
        <w:pStyle w:val="ListParagraph"/>
        <w:numPr>
          <w:ilvl w:val="0"/>
          <w:numId w:val="2"/>
        </w:numPr>
        <w:spacing w:after="40" w:before="40"/>
      </w:pPr>
      <w:r>
        <w:rPr>
          <w:rFonts w:ascii="Arial" w:cs="Arial" w:eastAsia="Arial" w:hAnsi="Arial"/>
          <w:color w:val="1A1A1A"/>
          <w:sz w:val="20"/>
          <w:szCs w:val="20"/>
        </w:rPr>
        <w:t xml:space="preserve">Deliver structured Terraform and Azure DevOps training to client engineering teams.</w:t>
      </w:r>
    </w:p>
    <w:p>
      <w:pPr>
        <w:pStyle w:val="ListParagraph"/>
        <w:numPr>
          <w:ilvl w:val="0"/>
          <w:numId w:val="2"/>
        </w:numPr>
        <w:spacing w:after="40" w:before="40"/>
      </w:pPr>
      <w:r>
        <w:rPr>
          <w:rFonts w:ascii="Arial" w:cs="Arial" w:eastAsia="Arial" w:hAnsi="Arial"/>
          <w:color w:val="1A1A1A"/>
          <w:sz w:val="20"/>
          <w:szCs w:val="20"/>
        </w:rPr>
        <w:t xml:space="preserve">Produce per-workload operational runbooks covering start/stop procedures, patching, scaling, DR failover, and escalation paths.</w:t>
      </w:r>
    </w:p>
    <w:p>
      <w:pPr>
        <w:pStyle w:val="ListParagraph"/>
        <w:numPr>
          <w:ilvl w:val="0"/>
          <w:numId w:val="2"/>
        </w:numPr>
        <w:spacing w:after="40" w:before="40"/>
      </w:pPr>
      <w:r>
        <w:rPr>
          <w:rFonts w:ascii="Arial" w:cs="Arial" w:eastAsia="Arial" w:hAnsi="Arial"/>
          <w:color w:val="1A1A1A"/>
          <w:sz w:val="20"/>
          <w:szCs w:val="20"/>
        </w:rPr>
        <w:t xml:space="preserve">Facilitate handover ceremonies (tech rehearsal, shadow operations, cutover sign-off) for each migration wave.</w:t>
      </w:r>
    </w:p>
    <w:p>
      <w:pPr>
        <w:spacing w:after="0" w:before="80"/>
      </w:pPr>
    </w:p>
    <w:p>
      <w:pPr>
        <w:spacing w:after="60" w:before="280"/>
      </w:pPr>
      <w:bookmarkStart w:name="s22" w:id="6"/>
      <w:r>
        <w:rPr>
          <w:rFonts w:ascii="Arial" w:cs="Arial" w:eastAsia="Arial" w:hAnsi="Arial"/>
          <w:b/>
          <w:bCs/>
          <w:color w:val="1F4E79"/>
          <w:sz w:val="28"/>
          <w:szCs w:val="28"/>
        </w:rPr>
        <w:t xml:space="preserve">2.2  RACI Matrix — Key Responsibilities</w:t>
      </w:r>
      <w:bookmarkEnd w:id="1005"/>
    </w:p>
    <w:p>
      <w:pPr>
        <w:pBdr>
          <w:bottom w:val="single" w:color="2E75B6" w:sz="6" w:space="1"/>
        </w:pBdr>
        <w:spacing w:after="60" w:before="60"/>
      </w:pP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60"/>
        <w:gridCol w:w="1260"/>
        <w:gridCol w:w="1260"/>
        <w:gridCol w:w="1260"/>
        <w:gridCol w:w="1260"/>
        <w:gridCol w:w="1260"/>
      </w:tblGrid>
      <w:tr>
        <w:tc>
          <w:tcPr>
            <w:tcW w:type="dxa" w:w="3060"/>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pPr>
              <w:jc w:val="left"/>
            </w:pPr>
            <w:r>
              <w:rPr>
                <w:rFonts w:ascii="Arial" w:cs="Arial" w:eastAsia="Arial" w:hAnsi="Arial"/>
                <w:b/>
                <w:bCs/>
                <w:color w:val="FFFFFF"/>
                <w:sz w:val="19"/>
                <w:szCs w:val="19"/>
              </w:rPr>
              <w:t xml:space="preserve">Responsibility</w:t>
            </w:r>
          </w:p>
        </w:tc>
        <w:tc>
          <w:tcPr>
            <w:tcW w:type="dxa" w:w="1260"/>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pPr>
              <w:jc w:val="left"/>
            </w:pPr>
            <w:r>
              <w:rPr>
                <w:rFonts w:ascii="Arial" w:cs="Arial" w:eastAsia="Arial" w:hAnsi="Arial"/>
                <w:b/>
                <w:bCs/>
                <w:color w:val="FFFFFF"/>
                <w:sz w:val="19"/>
                <w:szCs w:val="19"/>
              </w:rPr>
              <w:t xml:space="preserve">Mig. Eng.</w:t>
            </w:r>
          </w:p>
        </w:tc>
        <w:tc>
          <w:tcPr>
            <w:tcW w:type="dxa" w:w="1260"/>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pPr>
              <w:jc w:val="left"/>
            </w:pPr>
            <w:r>
              <w:rPr>
                <w:rFonts w:ascii="Arial" w:cs="Arial" w:eastAsia="Arial" w:hAnsi="Arial"/>
                <w:b/>
                <w:bCs/>
                <w:color w:val="FFFFFF"/>
                <w:sz w:val="19"/>
                <w:szCs w:val="19"/>
              </w:rPr>
              <w:t xml:space="preserve">Cloud Arch.</w:t>
            </w:r>
          </w:p>
        </w:tc>
        <w:tc>
          <w:tcPr>
            <w:tcW w:type="dxa" w:w="1260"/>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pPr>
              <w:jc w:val="left"/>
            </w:pPr>
            <w:r>
              <w:rPr>
                <w:rFonts w:ascii="Arial" w:cs="Arial" w:eastAsia="Arial" w:hAnsi="Arial"/>
                <w:b/>
                <w:bCs/>
                <w:color w:val="FFFFFF"/>
                <w:sz w:val="19"/>
                <w:szCs w:val="19"/>
              </w:rPr>
              <w:t xml:space="preserve">DevOps Lead</w:t>
            </w:r>
          </w:p>
        </w:tc>
        <w:tc>
          <w:tcPr>
            <w:tcW w:type="dxa" w:w="1260"/>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pPr>
              <w:jc w:val="left"/>
            </w:pPr>
            <w:r>
              <w:rPr>
                <w:rFonts w:ascii="Arial" w:cs="Arial" w:eastAsia="Arial" w:hAnsi="Arial"/>
                <w:b/>
                <w:bCs/>
                <w:color w:val="FFFFFF"/>
                <w:sz w:val="19"/>
                <w:szCs w:val="19"/>
              </w:rPr>
              <w:t xml:space="preserve">Sec. Eng.</w:t>
            </w:r>
          </w:p>
        </w:tc>
        <w:tc>
          <w:tcPr>
            <w:tcW w:type="dxa" w:w="1260"/>
            <w:tcBorders>
              <w:top w:val="single" w:color="CCCCCC" w:sz="1"/>
              <w:left w:val="single" w:color="CCCCCC" w:sz="1"/>
              <w:bottom w:val="single" w:color="CCCCCC" w:sz="1"/>
              <w:right w:val="single" w:color="CCCCCC" w:sz="1"/>
            </w:tcBorders>
            <w:shd w:fill="1F4E79" w:val="clear"/>
            <w:tcMar>
              <w:top w:type="dxa" w:w="80"/>
              <w:left w:type="dxa" w:w="80"/>
              <w:bottom w:type="dxa" w:w="80"/>
              <w:right w:type="dxa" w:w="80"/>
            </w:tcMar>
          </w:tcPr>
          <w:p>
            <w:pPr>
              <w:jc w:val="left"/>
            </w:pPr>
            <w:r>
              <w:rPr>
                <w:rFonts w:ascii="Arial" w:cs="Arial" w:eastAsia="Arial" w:hAnsi="Arial"/>
                <w:b/>
                <w:bCs/>
                <w:color w:val="FFFFFF"/>
                <w:sz w:val="19"/>
                <w:szCs w:val="19"/>
              </w:rPr>
              <w:t xml:space="preserve">Client Team</w:t>
            </w:r>
          </w:p>
        </w:tc>
      </w:tr>
      <w:tr>
        <w:tc>
          <w:tcPr>
            <w:tcW w:type="dxa" w:w="30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Pattern library development &amp; ownership</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C55A11"/>
                <w:sz w:val="19"/>
                <w:szCs w:val="19"/>
              </w:rPr>
              <w:t xml:space="preserve">A</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r>
      <w:tr>
        <w:tc>
          <w:tcPr>
            <w:tcW w:type="dxa" w:w="30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Azure Migrate assessment execution</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r>
      <w:tr>
        <w:tc>
          <w:tcPr>
            <w:tcW w:type="dxa" w:w="30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Wave planning &amp; prioritisation</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C55A11"/>
                <w:sz w:val="19"/>
                <w:szCs w:val="19"/>
              </w:rPr>
              <w:t xml:space="preserve">A</w:t>
            </w:r>
          </w:p>
        </w:tc>
      </w:tr>
      <w:tr>
        <w:tc>
          <w:tcPr>
            <w:tcW w:type="dxa" w:w="30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Terraform CI/CD pipeline design</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C55A11"/>
                <w:sz w:val="19"/>
                <w:szCs w:val="19"/>
              </w:rPr>
              <w:t xml:space="preserve">A</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r>
      <w:tr>
        <w:tc>
          <w:tcPr>
            <w:tcW w:type="dxa" w:w="30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Azure Policy &amp; Blueprint deployment</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C55A11"/>
                <w:sz w:val="19"/>
                <w:szCs w:val="19"/>
              </w:rPr>
              <w:t xml:space="preserve">A</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r>
      <w:tr>
        <w:tc>
          <w:tcPr>
            <w:tcW w:type="dxa" w:w="30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FinOps tagging &amp; cost governance</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C55A11"/>
                <w:sz w:val="19"/>
                <w:szCs w:val="19"/>
              </w:rPr>
              <w:t xml:space="preserve">A</w:t>
            </w:r>
          </w:p>
        </w:tc>
      </w:tr>
      <w:tr>
        <w:tc>
          <w:tcPr>
            <w:tcW w:type="dxa" w:w="30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Sprint backlog &amp; delivery</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r>
      <w:tr>
        <w:tc>
          <w:tcPr>
            <w:tcW w:type="dxa" w:w="30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SonarQube/tfsec CI gate config</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C55A11"/>
                <w:sz w:val="19"/>
                <w:szCs w:val="19"/>
              </w:rPr>
              <w:t xml:space="preserve">A</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r>
      <w:tr>
        <w:tc>
          <w:tcPr>
            <w:tcW w:type="dxa" w:w="30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Post-migration smoke testing</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C55A11"/>
                <w:sz w:val="19"/>
                <w:szCs w:val="19"/>
              </w:rPr>
              <w:t xml:space="preserve">A</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r>
      <w:tr>
        <w:tc>
          <w:tcPr>
            <w:tcW w:type="dxa" w:w="30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SLO/SLI framework design</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C55A11"/>
                <w:sz w:val="19"/>
                <w:szCs w:val="19"/>
              </w:rPr>
              <w:t xml:space="preserve">A</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r>
      <w:tr>
        <w:tc>
          <w:tcPr>
            <w:tcW w:type="dxa" w:w="30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Runbook authoring &amp; KT delivery</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C55A11"/>
                <w:sz w:val="19"/>
                <w:szCs w:val="19"/>
              </w:rPr>
              <w:t xml:space="preserve">A</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I</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r>
      <w:tr>
        <w:tc>
          <w:tcPr>
            <w:tcW w:type="dxa" w:w="30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left"/>
            </w:pPr>
            <w:r>
              <w:rPr>
                <w:rFonts w:ascii="Arial" w:cs="Arial" w:eastAsia="Arial" w:hAnsi="Arial"/>
                <w:b w:val="false"/>
                <w:bCs w:val="false"/>
                <w:color w:val="1A1A1A"/>
                <w:sz w:val="19"/>
                <w:szCs w:val="19"/>
              </w:rPr>
              <w:t xml:space="preserve">DR design &amp; failover testing</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F4E79"/>
                <w:sz w:val="19"/>
                <w:szCs w:val="19"/>
              </w:rPr>
              <w:t xml:space="preserve">R</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C55A11"/>
                <w:sz w:val="19"/>
                <w:szCs w:val="19"/>
              </w:rPr>
              <w:t xml:space="preserve">A</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c>
          <w:tcPr>
            <w:tcW w:type="dxa" w:w="1260"/>
            <w:tcBorders>
              <w:top w:val="single" w:color="CCCCCC" w:sz="1"/>
              <w:left w:val="single" w:color="CCCCCC" w:sz="1"/>
              <w:bottom w:val="single" w:color="CCCCCC" w:sz="1"/>
              <w:right w:val="single" w:color="CCCCCC" w:sz="1"/>
            </w:tcBorders>
            <w:shd w:fill="EBF3FB" w:val="clear"/>
            <w:tcMar>
              <w:top w:type="dxa" w:w="80"/>
              <w:left w:type="dxa" w:w="80"/>
              <w:bottom w:type="dxa" w:w="80"/>
              <w:right w:type="dxa" w:w="80"/>
            </w:tcMar>
          </w:tcPr>
          <w:p>
            <w:pPr>
              <w:jc w:val="center"/>
            </w:pPr>
            <w:r>
              <w:rPr>
                <w:rFonts w:ascii="Arial" w:cs="Arial" w:eastAsia="Arial" w:hAnsi="Arial"/>
                <w:b w:val="false"/>
                <w:bCs w:val="false"/>
                <w:color w:val="1A1A1A"/>
                <w:sz w:val="19"/>
                <w:szCs w:val="19"/>
              </w:rPr>
              <w:t xml:space="preserve">C</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CCCCC" w:sz="1"/>
              <w:left w:val="single" w:color="CCCCCC" w:sz="1"/>
              <w:bottom w:val="single" w:color="CCCCCC" w:sz="1"/>
              <w:right w:val="single" w:color="CCCCCC" w:sz="1"/>
            </w:tcBorders>
            <w:shd w:fill="2E75B6"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KEY</w:t>
            </w:r>
          </w:p>
        </w:tc>
        <w:tc>
          <w:tcPr>
            <w:tcW w:type="dxa" w:w="7920"/>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20"/>
            </w:tcMar>
          </w:tcPr>
          <w:p>
            <w:r>
              <w:rPr>
                <w:rFonts w:ascii="Arial" w:cs="Arial" w:eastAsia="Arial" w:hAnsi="Arial"/>
                <w:color w:val="1A1A1A"/>
                <w:sz w:val="19"/>
                <w:szCs w:val="19"/>
              </w:rPr>
              <w:t xml:space="preserve">R = Responsible  |  A = Accountable  |  C = Consulted  |  I = Informed</w:t>
            </w:r>
          </w:p>
        </w:tc>
      </w:tr>
    </w:tbl>
    <w:p>
      <w:pPr>
        <w:spacing w:after="0" w:before="80"/>
      </w:pPr>
    </w:p>
    <w:p>
      <w:r>
        <w:br w:type="page"/>
      </w:r>
    </w:p>
    <w:p>
      <w:pPr>
        <w:shd w:fill="0D2B4E" w:val="clear"/>
        <w:spacing w:after="120" w:before="0"/>
        <w:ind w:left="240" w:right="240"/>
      </w:pPr>
      <w:bookmarkStart w:name="s3" w:id="7"/>
      <w:r>
        <w:rPr>
          <w:rFonts w:ascii="Arial" w:cs="Arial" w:eastAsia="Arial" w:hAnsi="Arial"/>
          <w:b/>
          <w:bCs/>
          <w:color w:val="FFFFFF"/>
          <w:sz w:val="36"/>
          <w:szCs w:val="36"/>
        </w:rPr>
        <w:t xml:space="preserve">3.  Technical Skills Framework</w:t>
      </w:r>
      <w:bookmarkEnd w:id="1006"/>
    </w:p>
    <w:p>
      <w:pPr>
        <w:spacing w:after="0" w:before="80"/>
      </w:pPr>
    </w:p>
    <w:p>
      <w:pPr>
        <w:spacing w:after="60" w:before="60"/>
      </w:pPr>
      <w:r>
        <w:rPr>
          <w:rFonts w:ascii="Arial" w:cs="Arial" w:eastAsia="Arial" w:hAnsi="Arial"/>
          <w:color w:val="1A1A1A"/>
          <w:sz w:val="20"/>
          <w:szCs w:val="20"/>
        </w:rPr>
        <w:t xml:space="preserve">The following competency matrix defines the required technical skills grouped by domain, with expected proficiency level for an engineer operating on a large-scale Azure migration programme.</w:t>
      </w:r>
    </w:p>
    <w:p>
      <w:pPr>
        <w:spacing w:after="0" w:before="80"/>
      </w:pPr>
    </w:p>
    <w:p>
      <w:pPr>
        <w:spacing w:after="60" w:before="280"/>
      </w:pPr>
      <w:bookmarkStart w:name="s31" w:id="8"/>
      <w:r>
        <w:rPr>
          <w:rFonts w:ascii="Arial" w:cs="Arial" w:eastAsia="Arial" w:hAnsi="Arial"/>
          <w:b/>
          <w:bCs/>
          <w:color w:val="1F4E79"/>
          <w:sz w:val="28"/>
          <w:szCs w:val="28"/>
        </w:rPr>
        <w:t xml:space="preserve">3.1  Azure Migration &amp; Assessment</w:t>
      </w:r>
      <w:bookmarkEnd w:id="1007"/>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960"/>
        <w:gridCol w:w="1600"/>
      </w:tblGrid>
      <w:tr>
        <w:tc>
          <w:tcPr>
            <w:tcW w:type="dxa" w:w="2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Skill / Tool</w:t>
            </w:r>
          </w:p>
        </w:tc>
        <w:tc>
          <w:tcPr>
            <w:tcW w:type="dxa" w:w="4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Description</w:t>
            </w:r>
          </w:p>
        </w:tc>
        <w:tc>
          <w:tcPr>
            <w:tcW w:type="dxa" w:w="1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Proficiency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Migrate</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Discovery appliance deployment, dependency mapping, readiness assessment, cost modelling</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Site Recovery (ASR)</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Replication policy design, failover orchestration, recovery plan authoring</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Database Migration Svc</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Schema/data migration for SQL Server, PostgreSQL, MySQL, Cassandra to Azure targets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Resource Mover</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Coordinated resource relocation across regions and subscriptions</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Dependency Mapping</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Migrate agent-based and agentless dependency visualisation; wave sequencing logic</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TCO / ROI Analysis</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Pricing Calculator, Cost Management forecasting, reserved instance planning</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Migration Wave Design</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Tiering workloads by complexity, risk, and dependency; defining cutover windows and rollback gates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bl>
    <w:p>
      <w:pPr>
        <w:spacing w:after="0" w:before="80"/>
      </w:pPr>
    </w:p>
    <w:p>
      <w:pPr>
        <w:spacing w:after="60" w:before="280"/>
      </w:pPr>
      <w:bookmarkStart w:name="s32" w:id="9"/>
      <w:r>
        <w:rPr>
          <w:rFonts w:ascii="Arial" w:cs="Arial" w:eastAsia="Arial" w:hAnsi="Arial"/>
          <w:b/>
          <w:bCs/>
          <w:color w:val="1F4E79"/>
          <w:sz w:val="28"/>
          <w:szCs w:val="28"/>
        </w:rPr>
        <w:t xml:space="preserve">3.2  Infrastructure-as-Code &amp; Automation</w:t>
      </w:r>
      <w:bookmarkEnd w:id="1008"/>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560"/>
        <w:gridCol w:w="2000"/>
      </w:tblGrid>
      <w:tr>
        <w:tc>
          <w:tcPr>
            <w:tcW w:type="dxa" w:w="2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Skill / Tool</w:t>
            </w:r>
          </w:p>
        </w:tc>
        <w:tc>
          <w:tcPr>
            <w:tcW w:type="dxa" w:w="45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Description</w:t>
            </w:r>
          </w:p>
        </w:tc>
        <w:tc>
          <w:tcPr>
            <w:tcW w:type="dxa" w:w="20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Proficiency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 (Azure RM Provider)</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Full resource lifecycle for Azure — networking, compute, storage, identity, security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Terraform (Azure API Provider)</w:t>
            </w:r>
          </w:p>
        </w:tc>
        <w:tc>
          <w:tcPr>
            <w:tcW w:type="dxa" w:w="4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Preview feature access and undocumented resource gaps; governed usage with decision documentation</w:t>
            </w:r>
          </w:p>
        </w:tc>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 Module Design</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Reusable, versioned, parameterised modules with input validation, outputs, and remote state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ARM Templates</w:t>
            </w:r>
          </w:p>
        </w:tc>
        <w:tc>
          <w:tcPr>
            <w:tcW w:type="dxa" w:w="4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Fallback authoring for Terraform gaps; linked template patterns; template specs</w:t>
            </w:r>
          </w:p>
        </w:tc>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Pulumi</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Python/TypeScript IaC for teams preferring general-purpose languages over HCL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Awareness</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Helm Charts</w:t>
            </w:r>
          </w:p>
        </w:tc>
        <w:tc>
          <w:tcPr>
            <w:tcW w:type="dxa" w:w="4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Kubernetes workload packaging for containerised migration targets (AKS)</w:t>
            </w:r>
          </w:p>
        </w:tc>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Ansible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Post-provisioning configuration management; idempotent playbooks for OS-level config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Python / Bash / PowerShell</w:t>
            </w:r>
          </w:p>
        </w:tc>
        <w:tc>
          <w:tcPr>
            <w:tcW w:type="dxa" w:w="4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Assessment automation, pipeline scripting, data transformation, smoke test authoring</w:t>
            </w:r>
          </w:p>
        </w:tc>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Expert</w:t>
            </w:r>
          </w:p>
        </w:tc>
      </w:tr>
    </w:tbl>
    <w:p>
      <w:pPr>
        <w:spacing w:after="0" w:before="80"/>
      </w:pPr>
    </w:p>
    <w:p>
      <w:pPr>
        <w:spacing w:after="60" w:before="280"/>
      </w:pPr>
      <w:bookmarkStart w:name="s33" w:id="10"/>
      <w:r>
        <w:rPr>
          <w:rFonts w:ascii="Arial" w:cs="Arial" w:eastAsia="Arial" w:hAnsi="Arial"/>
          <w:b/>
          <w:bCs/>
          <w:color w:val="1F4E79"/>
          <w:sz w:val="28"/>
          <w:szCs w:val="28"/>
        </w:rPr>
        <w:t xml:space="preserve">3.3  DevOps &amp; CI/CD</w:t>
      </w:r>
      <w:bookmarkEnd w:id="1009"/>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5160"/>
        <w:gridCol w:w="1600"/>
      </w:tblGrid>
      <w:tr>
        <w:tc>
          <w:tcPr>
            <w:tcW w:type="dxa" w:w="2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Skill / Tool</w:t>
            </w:r>
          </w:p>
        </w:tc>
        <w:tc>
          <w:tcPr>
            <w:tcW w:type="dxa" w:w="51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Description</w:t>
            </w:r>
          </w:p>
        </w:tc>
        <w:tc>
          <w:tcPr>
            <w:tcW w:type="dxa" w:w="1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Proficiency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DevOps Pipelines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YAML pipeline authoring for multi-stage Terraform deployments; environment approval gates; variable groups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GitOps (ArgoCD / Flux)</w:t>
            </w:r>
          </w:p>
        </w:tc>
        <w:tc>
          <w:tcPr>
            <w:tcW w:type="dxa" w:w="51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Declarative cluster configuration management for AKS workload migration targets</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GitHub Actions</w:t>
            </w:r>
          </w:p>
        </w:tc>
        <w:tc>
          <w:tcPr>
            <w:tcW w:type="dxa" w:w="5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Workflow authoring for public-cloud hosted repositories; reusable composite actions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SonarQube</w:t>
            </w:r>
          </w:p>
        </w:tc>
        <w:tc>
          <w:tcPr>
            <w:tcW w:type="dxa" w:w="51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SAST integration as pipeline quality gate; custom rule profiles for IaC and application code</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tflint / tfsec / Checkov</w:t>
            </w:r>
          </w:p>
        </w:tc>
        <w:tc>
          <w:tcPr>
            <w:tcW w:type="dxa" w:w="5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Static analysis for Terraform — lint rules, security misconfiguration detection, compliance policy checks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Nexus / Artifactory</w:t>
            </w:r>
          </w:p>
        </w:tc>
        <w:tc>
          <w:tcPr>
            <w:tcW w:type="dxa" w:w="51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Artifact management for pipeline binaries, Terraform provider mirrors, and Helm chart repositories</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Terratest</w:t>
            </w:r>
          </w:p>
        </w:tc>
        <w:tc>
          <w:tcPr>
            <w:tcW w:type="dxa" w:w="5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Go-based infrastructure integration testing framework for Terraform modules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Proficient</w:t>
            </w:r>
          </w:p>
        </w:tc>
      </w:tr>
    </w:tbl>
    <w:p>
      <w:pPr>
        <w:spacing w:after="0" w:before="80"/>
      </w:pPr>
    </w:p>
    <w:p>
      <w:pPr>
        <w:spacing w:after="60" w:before="280"/>
      </w:pPr>
      <w:bookmarkStart w:name="s34" w:id="11"/>
      <w:r>
        <w:rPr>
          <w:rFonts w:ascii="Arial" w:cs="Arial" w:eastAsia="Arial" w:hAnsi="Arial"/>
          <w:b/>
          <w:bCs/>
          <w:color w:val="1F4E79"/>
          <w:sz w:val="28"/>
          <w:szCs w:val="28"/>
        </w:rPr>
        <w:t xml:space="preserve">3.4  Cloud Governance &amp; Security</w:t>
      </w:r>
      <w:bookmarkEnd w:id="1010"/>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960"/>
        <w:gridCol w:w="1600"/>
      </w:tblGrid>
      <w:tr>
        <w:tc>
          <w:tcPr>
            <w:tcW w:type="dxa" w:w="2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Skill / Tool</w:t>
            </w:r>
          </w:p>
        </w:tc>
        <w:tc>
          <w:tcPr>
            <w:tcW w:type="dxa" w:w="4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Description</w:t>
            </w:r>
          </w:p>
        </w:tc>
        <w:tc>
          <w:tcPr>
            <w:tcW w:type="dxa" w:w="1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Proficiency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Policy</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Built-in and custom policy definitions; deny, audit, deployIfNotExists effects; initiative grouping</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Blueprints</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Governance packaging: policy assignments, RBAC roles, resource groups, ARM templates as a governed unit</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Microsoft Defender for Cloud</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Secure Score monitoring, regulatory compliance dashboards, workflow automation for alerts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Microsoft Sentinel</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SIEM integration for migrated workloads; analytic rules, alert triage, incident response playbooks</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Key Vault</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Secret, certificate, and key lifecycle management; RBAC-based access; pipeline integration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RBAC / Entra ID (AAD)</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Role assignments, PIM, conditional access, managed identities, workload identity for IaC pipelines</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FinOps / Cost Management</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Budget alerts, cost allocation tags, reserved instance modelling, showback/chargeback reporting</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Zero-Trust Architecture</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NSG, WAF, DDoS, private endpoints, mTLS, network segmentation for migrated workloads</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Expert</w:t>
            </w:r>
          </w:p>
        </w:tc>
      </w:tr>
    </w:tbl>
    <w:p>
      <w:pPr>
        <w:spacing w:after="0" w:before="80"/>
      </w:pPr>
    </w:p>
    <w:p>
      <w:pPr>
        <w:spacing w:after="60" w:before="280"/>
      </w:pPr>
      <w:bookmarkStart w:name="s35" w:id="12"/>
      <w:r>
        <w:rPr>
          <w:rFonts w:ascii="Arial" w:cs="Arial" w:eastAsia="Arial" w:hAnsi="Arial"/>
          <w:b/>
          <w:bCs/>
          <w:color w:val="1F4E79"/>
          <w:sz w:val="28"/>
          <w:szCs w:val="28"/>
        </w:rPr>
        <w:t xml:space="preserve">3.5  Container &amp; Kubernetes</w:t>
      </w:r>
      <w:bookmarkEnd w:id="1011"/>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960"/>
        <w:gridCol w:w="1600"/>
      </w:tblGrid>
      <w:tr>
        <w:tc>
          <w:tcPr>
            <w:tcW w:type="dxa" w:w="2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Skill / Tool</w:t>
            </w:r>
          </w:p>
        </w:tc>
        <w:tc>
          <w:tcPr>
            <w:tcW w:type="dxa" w:w="4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Description</w:t>
            </w:r>
          </w:p>
        </w:tc>
        <w:tc>
          <w:tcPr>
            <w:tcW w:type="dxa" w:w="1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Proficiency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AKS (Azure Kubernetes Service)</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Cluster topology design, node pool management, RBAC, network policy, private cluster config</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Helm</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Chart authoring, values file management, Helm release lifecycle in migration pipelines</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Istio Service Mesh</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Traffic management, mTLS zero-trust, telemetry, canary deployments for migrated microservices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Docker</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Multi-stage Dockerfile authoring, image optimisation, container security scanning</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Expert</w:t>
            </w:r>
          </w:p>
        </w:tc>
      </w:tr>
    </w:tbl>
    <w:p>
      <w:pPr>
        <w:spacing w:after="0" w:before="80"/>
      </w:pPr>
    </w:p>
    <w:p>
      <w:pPr>
        <w:spacing w:after="60" w:before="280"/>
      </w:pPr>
      <w:bookmarkStart w:name="s36" w:id="13"/>
      <w:r>
        <w:rPr>
          <w:rFonts w:ascii="Arial" w:cs="Arial" w:eastAsia="Arial" w:hAnsi="Arial"/>
          <w:b/>
          <w:bCs/>
          <w:color w:val="1F4E79"/>
          <w:sz w:val="28"/>
          <w:szCs w:val="28"/>
        </w:rPr>
        <w:t xml:space="preserve">3.6  Monitoring, SRE &amp; Observability</w:t>
      </w:r>
      <w:bookmarkEnd w:id="1012"/>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4960"/>
        <w:gridCol w:w="1600"/>
      </w:tblGrid>
      <w:tr>
        <w:tc>
          <w:tcPr>
            <w:tcW w:type="dxa" w:w="2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Skill / Tool</w:t>
            </w:r>
          </w:p>
        </w:tc>
        <w:tc>
          <w:tcPr>
            <w:tcW w:type="dxa" w:w="4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Description</w:t>
            </w:r>
          </w:p>
        </w:tc>
        <w:tc>
          <w:tcPr>
            <w:tcW w:type="dxa" w:w="1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Proficiency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Monitor / Log Analytics</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Workspace design, diagnostic settings deployment via IaC, KQL query authoring, alert rules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Expert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Dynatrace</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Full-stack observability for migrated workloads; SLO definition, auto-baselining, dashboards</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Prometheus / Grafana</w:t>
            </w:r>
          </w:p>
        </w:tc>
        <w:tc>
          <w:tcPr>
            <w:tcW w:type="dxa" w:w="4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Metrics collection for AKS workloads; recording rules, alerting rules, Grafana dashboard design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Proficient</w:t>
            </w:r>
          </w:p>
        </w:tc>
      </w:tr>
      <w:tr>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SLO / SLI Framework</w:t>
            </w:r>
          </w:p>
        </w:tc>
        <w:tc>
          <w:tcPr>
            <w:tcW w:type="dxa" w:w="4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Defining availability, latency, and error-rate SLIs; setting SLO targets; error budget burn-rate alerts</w:t>
            </w:r>
          </w:p>
        </w:tc>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Expert</w:t>
            </w:r>
          </w:p>
        </w:tc>
      </w:tr>
    </w:tbl>
    <w:p>
      <w:pPr>
        <w:spacing w:after="0" w:before="80"/>
      </w:pPr>
    </w:p>
    <w:p>
      <w:r>
        <w:br w:type="page"/>
      </w:r>
    </w:p>
    <w:p>
      <w:pPr>
        <w:shd w:fill="0D2B4E" w:val="clear"/>
        <w:spacing w:after="120" w:before="0"/>
        <w:ind w:left="240" w:right="240"/>
      </w:pPr>
      <w:bookmarkStart w:name="s4" w:id="14"/>
      <w:r>
        <w:rPr>
          <w:rFonts w:ascii="Arial" w:cs="Arial" w:eastAsia="Arial" w:hAnsi="Arial"/>
          <w:b/>
          <w:bCs/>
          <w:color w:val="FFFFFF"/>
          <w:sz w:val="36"/>
          <w:szCs w:val="36"/>
        </w:rPr>
        <w:t xml:space="preserve">4.  Migration Phases &amp; Delivery Framework</w:t>
      </w:r>
      <w:bookmarkEnd w:id="1013"/>
    </w:p>
    <w:p>
      <w:pPr>
        <w:spacing w:after="0" w:before="80"/>
      </w:pPr>
    </w:p>
    <w:p>
      <w:pPr>
        <w:spacing w:after="60" w:before="60"/>
      </w:pPr>
      <w:r>
        <w:rPr>
          <w:rFonts w:ascii="Arial" w:cs="Arial" w:eastAsia="Arial" w:hAnsi="Arial"/>
          <w:color w:val="1A1A1A"/>
          <w:sz w:val="20"/>
          <w:szCs w:val="20"/>
        </w:rPr>
        <w:t xml:space="preserve">Large-scale Azure migration programmes are structured across six phases. Each phase has defined entry/exit criteria, required deliverables, and IaC pattern responsibilities for the Migration Engineer.</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6"/>
                <w:szCs w:val="16"/>
              </w:rPr>
              <w:t xml:space="preserve">PHASE</w:t>
            </w:r>
          </w:p>
          <w:p>
            <w:pPr>
              <w:jc w:val="center"/>
            </w:pPr>
            <w:r>
              <w:rPr>
                <w:rFonts w:ascii="Arial" w:cs="Arial" w:eastAsia="Arial" w:hAnsi="Arial"/>
                <w:b/>
                <w:bCs/>
                <w:color w:val="0D2B4E"/>
                <w:sz w:val="48"/>
                <w:szCs w:val="48"/>
              </w:rPr>
              <w:t xml:space="preserve">1</w:t>
            </w:r>
          </w:p>
        </w:tc>
        <w:tc>
          <w:tcPr>
            <w:tcW w:type="dxa" w:w="7960"/>
            <w:tcBorders>
              <w:top w:val="none" w:color="FFFFFF" w:sz="0"/>
              <w:left w:val="none" w:color="FFFFFF" w:sz="0"/>
              <w:bottom w:val="none" w:color="FFFFFF" w:sz="0"/>
              <w:right w:val="none" w:color="FFFFFF" w:sz="0"/>
            </w:tcBorders>
            <w:shd w:fill="0D2B4E" w:val="clear"/>
            <w:tcMar>
              <w:top w:type="dxa" w:w="140"/>
              <w:left w:type="dxa" w:w="240"/>
              <w:bottom w:type="dxa" w:w="140"/>
              <w:right w:type="dxa" w:w="160"/>
            </w:tcMar>
            <w:vAlign w:val="center"/>
          </w:tcPr>
          <w:p>
            <w:r>
              <w:rPr>
                <w:rFonts w:ascii="Arial" w:cs="Arial" w:eastAsia="Arial" w:hAnsi="Arial"/>
                <w:b/>
                <w:bCs/>
                <w:color w:val="FFFFFF"/>
                <w:sz w:val="30"/>
                <w:szCs w:val="30"/>
              </w:rPr>
              <w:t xml:space="preserve">Discover &amp; Assess</w:t>
            </w:r>
          </w:p>
          <w:p>
            <w:r>
              <w:rPr>
                <w:rFonts w:ascii="Arial" w:cs="Arial" w:eastAsia="Arial" w:hAnsi="Arial"/>
                <w:color w:val="00B0F0"/>
                <w:sz w:val="20"/>
                <w:szCs w:val="20"/>
              </w:rPr>
              <w:t xml:space="preserve">Azure Migrate deployment, dependency mapping, readiness scoring, wave prioritisation</w:t>
            </w:r>
          </w:p>
        </w:tc>
      </w:tr>
    </w:tbl>
    <w:p>
      <w:pPr>
        <w:spacing w:after="0" w:before="80"/>
      </w:pPr>
    </w:p>
    <w:p>
      <w:pPr>
        <w:spacing w:after="60" w:before="200"/>
      </w:pPr>
      <w:r>
        <w:rPr>
          <w:rFonts w:ascii="Arial" w:cs="Arial" w:eastAsia="Arial" w:hAnsi="Arial"/>
          <w:b/>
          <w:bCs/>
          <w:color w:val="007B8A"/>
          <w:sz w:val="22"/>
          <w:szCs w:val="22"/>
        </w:rPr>
        <w:t xml:space="preserve">Engineering Responsibilities</w:t>
      </w:r>
    </w:p>
    <w:p>
      <w:pPr>
        <w:pStyle w:val="ListParagraph"/>
        <w:numPr>
          <w:ilvl w:val="0"/>
          <w:numId w:val="2"/>
        </w:numPr>
        <w:spacing w:after="40" w:before="40"/>
      </w:pPr>
      <w:r>
        <w:rPr>
          <w:rFonts w:ascii="Arial" w:cs="Arial" w:eastAsia="Arial" w:hAnsi="Arial"/>
          <w:color w:val="1A1A1A"/>
          <w:sz w:val="20"/>
          <w:szCs w:val="20"/>
        </w:rPr>
        <w:t xml:space="preserve">Deploy Azure Migrate appliance (OVA or Hyper-V) into on-premises environment; configure discovery scope and credentials.</w:t>
      </w:r>
    </w:p>
    <w:p>
      <w:pPr>
        <w:pStyle w:val="ListParagraph"/>
        <w:numPr>
          <w:ilvl w:val="0"/>
          <w:numId w:val="2"/>
        </w:numPr>
        <w:spacing w:after="40" w:before="40"/>
      </w:pPr>
      <w:r>
        <w:rPr>
          <w:rFonts w:ascii="Arial" w:cs="Arial" w:eastAsia="Arial" w:hAnsi="Arial"/>
          <w:color w:val="1A1A1A"/>
          <w:sz w:val="20"/>
          <w:szCs w:val="20"/>
        </w:rPr>
        <w:t xml:space="preserve">Enable dependency analysis (agent-based for Windows/Linux; agentless for VMware) and run for minimum 30-day observation window.</w:t>
      </w:r>
    </w:p>
    <w:p>
      <w:pPr>
        <w:pStyle w:val="ListParagraph"/>
        <w:numPr>
          <w:ilvl w:val="0"/>
          <w:numId w:val="2"/>
        </w:numPr>
        <w:spacing w:after="40" w:before="40"/>
      </w:pPr>
      <w:r>
        <w:rPr>
          <w:rFonts w:ascii="Arial" w:cs="Arial" w:eastAsia="Arial" w:hAnsi="Arial"/>
          <w:color w:val="1A1A1A"/>
          <w:sz w:val="20"/>
          <w:szCs w:val="20"/>
        </w:rPr>
        <w:t xml:space="preserve">Export discovered inventory to Azure Migrate Hub; validate against CMDB for completeness.</w:t>
      </w:r>
    </w:p>
    <w:p>
      <w:pPr>
        <w:pStyle w:val="ListParagraph"/>
        <w:numPr>
          <w:ilvl w:val="0"/>
          <w:numId w:val="2"/>
        </w:numPr>
        <w:spacing w:after="40" w:before="40"/>
      </w:pPr>
      <w:r>
        <w:rPr>
          <w:rFonts w:ascii="Arial" w:cs="Arial" w:eastAsia="Arial" w:hAnsi="Arial"/>
          <w:color w:val="1A1A1A"/>
          <w:sz w:val="20"/>
          <w:szCs w:val="20"/>
        </w:rPr>
        <w:t xml:space="preserve">Execute readiness assessments for Azure VM, Azure SQL, AKS, and App Service targets; document suitability and migration blockers.</w:t>
      </w:r>
    </w:p>
    <w:p>
      <w:pPr>
        <w:pStyle w:val="ListParagraph"/>
        <w:numPr>
          <w:ilvl w:val="0"/>
          <w:numId w:val="2"/>
        </w:numPr>
        <w:spacing w:after="40" w:before="40"/>
      </w:pPr>
      <w:r>
        <w:rPr>
          <w:rFonts w:ascii="Arial" w:cs="Arial" w:eastAsia="Arial" w:hAnsi="Arial"/>
          <w:color w:val="1A1A1A"/>
          <w:sz w:val="20"/>
          <w:szCs w:val="20"/>
        </w:rPr>
        <w:t xml:space="preserve">Script automated wave prioritisation: classify workloads by dependency cluster, risk score, and business criticality using Python against Azure Migrate REST API.</w:t>
      </w:r>
    </w:p>
    <w:p>
      <w:pPr>
        <w:pStyle w:val="ListParagraph"/>
        <w:numPr>
          <w:ilvl w:val="0"/>
          <w:numId w:val="2"/>
        </w:numPr>
        <w:spacing w:after="40" w:before="40"/>
      </w:pPr>
      <w:r>
        <w:rPr>
          <w:rFonts w:ascii="Arial" w:cs="Arial" w:eastAsia="Arial" w:hAnsi="Arial"/>
          <w:color w:val="1A1A1A"/>
          <w:sz w:val="20"/>
          <w:szCs w:val="20"/>
        </w:rPr>
        <w:t xml:space="preserve">Produce migration wave plan document: wave sequence, cutover window, rollback criteria, stakeholder sign-off requirements.</w:t>
      </w:r>
    </w:p>
    <w:p>
      <w:pPr>
        <w:spacing w:after="0" w:before="60"/>
      </w:pPr>
    </w:p>
    <w:p>
      <w:pPr>
        <w:spacing w:after="60" w:before="200"/>
      </w:pPr>
      <w:r>
        <w:rPr>
          <w:rFonts w:ascii="Arial" w:cs="Arial" w:eastAsia="Arial" w:hAnsi="Arial"/>
          <w:b/>
          <w:bCs/>
          <w:color w:val="007B8A"/>
          <w:sz w:val="22"/>
          <w:szCs w:val="22"/>
        </w:rPr>
        <w:t xml:space="preserve">Key Deliverables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800"/>
        <w:gridCol w:w="2560"/>
      </w:tblGrid>
      <w:tr>
        <w:tc>
          <w:tcPr>
            <w:tcW w:type="dxa" w:w="40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Deliverable</w:t>
            </w:r>
          </w:p>
        </w:tc>
        <w:tc>
          <w:tcPr>
            <w:tcW w:type="dxa" w:w="2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Owner</w:t>
            </w:r>
          </w:p>
        </w:tc>
        <w:tc>
          <w:tcPr>
            <w:tcW w:type="dxa" w:w="25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Format</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Discovery inventory report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Migration Engineer</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Excel / Power BI</w:t>
            </w:r>
          </w:p>
        </w:tc>
      </w:tr>
      <w:tr>
        <w:tc>
          <w:tcPr>
            <w:tcW w:type="dxa" w:w="4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Dependency map per application group</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Migration Engineer</w:t>
            </w:r>
          </w:p>
        </w:tc>
        <w:tc>
          <w:tcPr>
            <w:tcW w:type="dxa" w:w="2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Migrate / Visio export</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Readiness assessment report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Migration Engineer</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Migrate report + narrative</w:t>
            </w:r>
          </w:p>
        </w:tc>
      </w:tr>
      <w:tr>
        <w:tc>
          <w:tcPr>
            <w:tcW w:type="dxa" w:w="4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Wave prioritisation matrix</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Migration Engineer</w:t>
            </w:r>
          </w:p>
        </w:tc>
        <w:tc>
          <w:tcPr>
            <w:tcW w:type="dxa" w:w="2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Excel with scoring model</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Migration wave plan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Cloud Architect</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Word / Confluence</w:t>
            </w:r>
          </w:p>
        </w:tc>
      </w:tr>
    </w:tbl>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6"/>
                <w:szCs w:val="16"/>
              </w:rPr>
              <w:t xml:space="preserve">PHASE</w:t>
            </w:r>
          </w:p>
          <w:p>
            <w:pPr>
              <w:jc w:val="center"/>
            </w:pPr>
            <w:r>
              <w:rPr>
                <w:rFonts w:ascii="Arial" w:cs="Arial" w:eastAsia="Arial" w:hAnsi="Arial"/>
                <w:b/>
                <w:bCs/>
                <w:color w:val="0D2B4E"/>
                <w:sz w:val="48"/>
                <w:szCs w:val="48"/>
              </w:rPr>
              <w:t xml:space="preserve">2</w:t>
            </w:r>
          </w:p>
        </w:tc>
        <w:tc>
          <w:tcPr>
            <w:tcW w:type="dxa" w:w="7960"/>
            <w:tcBorders>
              <w:top w:val="none" w:color="FFFFFF" w:sz="0"/>
              <w:left w:val="none" w:color="FFFFFF" w:sz="0"/>
              <w:bottom w:val="none" w:color="FFFFFF" w:sz="0"/>
              <w:right w:val="none" w:color="FFFFFF" w:sz="0"/>
            </w:tcBorders>
            <w:shd w:fill="0D2B4E" w:val="clear"/>
            <w:tcMar>
              <w:top w:type="dxa" w:w="140"/>
              <w:left w:type="dxa" w:w="240"/>
              <w:bottom w:type="dxa" w:w="140"/>
              <w:right w:type="dxa" w:w="160"/>
            </w:tcMar>
            <w:vAlign w:val="center"/>
          </w:tcPr>
          <w:p>
            <w:r>
              <w:rPr>
                <w:rFonts w:ascii="Arial" w:cs="Arial" w:eastAsia="Arial" w:hAnsi="Arial"/>
                <w:b/>
                <w:bCs/>
                <w:color w:val="FFFFFF"/>
                <w:sz w:val="30"/>
                <w:szCs w:val="30"/>
              </w:rPr>
              <w:t xml:space="preserve">Design &amp; Pattern Selection</w:t>
            </w:r>
          </w:p>
          <w:p>
            <w:r>
              <w:rPr>
                <w:rFonts w:ascii="Arial" w:cs="Arial" w:eastAsia="Arial" w:hAnsi="Arial"/>
                <w:color w:val="00B0F0"/>
                <w:sz w:val="20"/>
                <w:szCs w:val="20"/>
              </w:rPr>
              <w:t xml:space="preserve">Landing Zone design, migration pattern selection, IaC template authoring</w:t>
            </w:r>
          </w:p>
        </w:tc>
      </w:tr>
    </w:tbl>
    <w:p>
      <w:pPr>
        <w:spacing w:after="0" w:before="80"/>
      </w:pPr>
    </w:p>
    <w:p>
      <w:pPr>
        <w:spacing w:after="60" w:before="200"/>
      </w:pPr>
      <w:r>
        <w:rPr>
          <w:rFonts w:ascii="Arial" w:cs="Arial" w:eastAsia="Arial" w:hAnsi="Arial"/>
          <w:b/>
          <w:bCs/>
          <w:color w:val="007B8A"/>
          <w:sz w:val="22"/>
          <w:szCs w:val="22"/>
        </w:rPr>
        <w:t xml:space="preserve">Migration Pattern Decision Framework</w:t>
      </w:r>
    </w:p>
    <w:p>
      <w:pPr>
        <w:spacing w:after="60" w:before="60"/>
      </w:pPr>
      <w:r>
        <w:rPr>
          <w:rFonts w:ascii="Arial" w:cs="Arial" w:eastAsia="Arial" w:hAnsi="Arial"/>
          <w:color w:val="1A1A1A"/>
          <w:sz w:val="20"/>
          <w:szCs w:val="20"/>
        </w:rPr>
        <w:t xml:space="preserve">Each workload assessed in Phase 1 is assigned one of the following migration patterns. The Migration Engineer owns the IaC template for each pattern:</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2800"/>
        <w:gridCol w:w="1960"/>
      </w:tblGrid>
      <w:tr>
        <w:tc>
          <w:tcPr>
            <w:tcW w:type="dxa" w:w="1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Pattern</w:t>
            </w:r>
          </w:p>
        </w:tc>
        <w:tc>
          <w:tcPr>
            <w:tcW w:type="dxa" w:w="2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Description</w:t>
            </w:r>
          </w:p>
        </w:tc>
        <w:tc>
          <w:tcPr>
            <w:tcW w:type="dxa" w:w="2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IaC Approach</w:t>
            </w:r>
          </w:p>
        </w:tc>
        <w:tc>
          <w:tcPr>
            <w:tcW w:type="dxa" w:w="1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Target Service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Rehost (Lift &amp; Shift)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Migrate VM as-is with minimal changes. Fastest time-to-cloud.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ASR replication + Terraform VM module</w:t>
            </w:r>
          </w:p>
        </w:tc>
        <w:tc>
          <w:tcPr>
            <w:tcW w:type="dxa" w:w="1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VM (IaaS)</w:t>
            </w:r>
          </w:p>
        </w:tc>
      </w:tr>
      <w:tr>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Replatform (Lift &amp; Reshape)</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Minor optimisations — OS upgrade, managed DB, containerisation.</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Terraform + Ansible post-config</w:t>
            </w:r>
          </w:p>
        </w:tc>
        <w:tc>
          <w:tcPr>
            <w:tcW w:type="dxa" w:w="1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VM / App Service / AKS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Refactor (Re-architect)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Rework application to leverage PaaS / cloud-native services.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 PaaS modules + Helm charts</w:t>
            </w:r>
          </w:p>
        </w:tc>
        <w:tc>
          <w:tcPr>
            <w:tcW w:type="dxa" w:w="1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App Service / AKS / Functions</w:t>
            </w:r>
          </w:p>
        </w:tc>
      </w:tr>
      <w:tr>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Re-purchase</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Replace on-premises software with SaaS equivalent.</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Marketplace / ARM linked templates</w:t>
            </w:r>
          </w:p>
        </w:tc>
        <w:tc>
          <w:tcPr>
            <w:tcW w:type="dxa" w:w="1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SaaS (M365, Dynamics)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Retire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Decommission workloads with no migration path.</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 destroy pipeline + data archive</w:t>
            </w:r>
          </w:p>
        </w:tc>
        <w:tc>
          <w:tcPr>
            <w:tcW w:type="dxa" w:w="1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N/A — decommission</w:t>
            </w:r>
          </w:p>
        </w:tc>
      </w:tr>
      <w:tr>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Retain</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Keep on-premises (regulatory, latency, or dependency constraint).</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Hybrid connectivity — ExpressRoute / VPN</w:t>
            </w:r>
          </w:p>
        </w:tc>
        <w:tc>
          <w:tcPr>
            <w:tcW w:type="dxa" w:w="1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On-premises + Azure Arc</w:t>
            </w:r>
          </w:p>
        </w:tc>
      </w:tr>
    </w:tbl>
    <w:p>
      <w:pPr>
        <w:spacing w:after="0" w:before="80"/>
      </w:pPr>
    </w:p>
    <w:p>
      <w:pPr>
        <w:spacing w:after="60" w:before="200"/>
      </w:pPr>
      <w:r>
        <w:rPr>
          <w:rFonts w:ascii="Arial" w:cs="Arial" w:eastAsia="Arial" w:hAnsi="Arial"/>
          <w:b/>
          <w:bCs/>
          <w:color w:val="007B8A"/>
          <w:sz w:val="22"/>
          <w:szCs w:val="22"/>
        </w:rPr>
        <w:t xml:space="preserve">Landing Zone Design — Required Components</w:t>
      </w:r>
    </w:p>
    <w:p>
      <w:pPr>
        <w:pStyle w:val="ListParagraph"/>
        <w:numPr>
          <w:ilvl w:val="0"/>
          <w:numId w:val="2"/>
        </w:numPr>
        <w:spacing w:after="40" w:before="40"/>
      </w:pPr>
      <w:r>
        <w:rPr>
          <w:rFonts w:ascii="Arial" w:cs="Arial" w:eastAsia="Arial" w:hAnsi="Arial"/>
          <w:color w:val="1A1A1A"/>
          <w:sz w:val="20"/>
          <w:szCs w:val="20"/>
        </w:rPr>
        <w:t xml:space="preserve">Management Group hierarchy aligned to Cloud Adoption Framework (CAF): Root &gt; Platform &gt; Landing Zones &gt; Sandboxes.</w:t>
      </w:r>
    </w:p>
    <w:p>
      <w:pPr>
        <w:pStyle w:val="ListParagraph"/>
        <w:numPr>
          <w:ilvl w:val="0"/>
          <w:numId w:val="2"/>
        </w:numPr>
        <w:spacing w:after="40" w:before="40"/>
      </w:pPr>
      <w:r>
        <w:rPr>
          <w:rFonts w:ascii="Arial" w:cs="Arial" w:eastAsia="Arial" w:hAnsi="Arial"/>
          <w:color w:val="1A1A1A"/>
          <w:sz w:val="20"/>
          <w:szCs w:val="20"/>
        </w:rPr>
        <w:t xml:space="preserve">Hub-spoke networking: central hub VNet (Azure Firewall, ExpressRoute/VPN Gateway, DNS resolver, Bastion) with spoke VNets per workload subscription.</w:t>
      </w:r>
    </w:p>
    <w:p>
      <w:pPr>
        <w:pStyle w:val="ListParagraph"/>
        <w:numPr>
          <w:ilvl w:val="0"/>
          <w:numId w:val="2"/>
        </w:numPr>
        <w:spacing w:after="40" w:before="40"/>
      </w:pPr>
      <w:r>
        <w:rPr>
          <w:rFonts w:ascii="Arial" w:cs="Arial" w:eastAsia="Arial" w:hAnsi="Arial"/>
          <w:color w:val="1A1A1A"/>
          <w:sz w:val="20"/>
          <w:szCs w:val="20"/>
        </w:rPr>
        <w:t xml:space="preserve">Azure Private DNS Zones for PaaS service resolution; custom DNS servers configured on all VNets.</w:t>
      </w:r>
    </w:p>
    <w:p>
      <w:pPr>
        <w:pStyle w:val="ListParagraph"/>
        <w:numPr>
          <w:ilvl w:val="0"/>
          <w:numId w:val="2"/>
        </w:numPr>
        <w:spacing w:after="40" w:before="40"/>
      </w:pPr>
      <w:r>
        <w:rPr>
          <w:rFonts w:ascii="Arial" w:cs="Arial" w:eastAsia="Arial" w:hAnsi="Arial"/>
          <w:color w:val="1A1A1A"/>
          <w:sz w:val="20"/>
          <w:szCs w:val="20"/>
        </w:rPr>
        <w:t xml:space="preserve">Centralised Log Analytics workspace with diagnostic settings deployed via Azure Policy (deployIfNotExists).</w:t>
      </w:r>
    </w:p>
    <w:p>
      <w:pPr>
        <w:pStyle w:val="ListParagraph"/>
        <w:numPr>
          <w:ilvl w:val="0"/>
          <w:numId w:val="2"/>
        </w:numPr>
        <w:spacing w:after="40" w:before="40"/>
      </w:pPr>
      <w:r>
        <w:rPr>
          <w:rFonts w:ascii="Arial" w:cs="Arial" w:eastAsia="Arial" w:hAnsi="Arial"/>
          <w:color w:val="1A1A1A"/>
          <w:sz w:val="20"/>
          <w:szCs w:val="20"/>
        </w:rPr>
        <w:t xml:space="preserve">Identity baseline: AAD groups, PIM-enabled roles, workload managed identities, no permanent privileged access.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6"/>
                <w:szCs w:val="16"/>
              </w:rPr>
              <w:t xml:space="preserve">PHASE</w:t>
            </w:r>
          </w:p>
          <w:p>
            <w:pPr>
              <w:jc w:val="center"/>
            </w:pPr>
            <w:r>
              <w:rPr>
                <w:rFonts w:ascii="Arial" w:cs="Arial" w:eastAsia="Arial" w:hAnsi="Arial"/>
                <w:b/>
                <w:bCs/>
                <w:color w:val="0D2B4E"/>
                <w:sz w:val="48"/>
                <w:szCs w:val="48"/>
              </w:rPr>
              <w:t xml:space="preserve">3</w:t>
            </w:r>
          </w:p>
        </w:tc>
        <w:tc>
          <w:tcPr>
            <w:tcW w:type="dxa" w:w="7960"/>
            <w:tcBorders>
              <w:top w:val="none" w:color="FFFFFF" w:sz="0"/>
              <w:left w:val="none" w:color="FFFFFF" w:sz="0"/>
              <w:bottom w:val="none" w:color="FFFFFF" w:sz="0"/>
              <w:right w:val="none" w:color="FFFFFF" w:sz="0"/>
            </w:tcBorders>
            <w:shd w:fill="0D2B4E" w:val="clear"/>
            <w:tcMar>
              <w:top w:type="dxa" w:w="140"/>
              <w:left w:type="dxa" w:w="240"/>
              <w:bottom w:type="dxa" w:w="140"/>
              <w:right w:type="dxa" w:w="160"/>
            </w:tcMar>
            <w:vAlign w:val="center"/>
          </w:tcPr>
          <w:p>
            <w:r>
              <w:rPr>
                <w:rFonts w:ascii="Arial" w:cs="Arial" w:eastAsia="Arial" w:hAnsi="Arial"/>
                <w:b/>
                <w:bCs/>
                <w:color w:val="FFFFFF"/>
                <w:sz w:val="30"/>
                <w:szCs w:val="30"/>
              </w:rPr>
              <w:t xml:space="preserve">Build &amp; Automate</w:t>
            </w:r>
          </w:p>
          <w:p>
            <w:r>
              <w:rPr>
                <w:rFonts w:ascii="Arial" w:cs="Arial" w:eastAsia="Arial" w:hAnsi="Arial"/>
                <w:color w:val="00B0F0"/>
                <w:sz w:val="20"/>
                <w:szCs w:val="20"/>
              </w:rPr>
              <w:t xml:space="preserve">Terraform module library, CI/CD pipelines, governance automation</w:t>
            </w:r>
          </w:p>
        </w:tc>
      </w:tr>
    </w:tbl>
    <w:p>
      <w:pPr>
        <w:spacing w:after="0" w:before="80"/>
      </w:pPr>
    </w:p>
    <w:p>
      <w:pPr>
        <w:spacing w:after="60" w:before="200"/>
      </w:pPr>
      <w:r>
        <w:rPr>
          <w:rFonts w:ascii="Arial" w:cs="Arial" w:eastAsia="Arial" w:hAnsi="Arial"/>
          <w:b/>
          <w:bCs/>
          <w:color w:val="007B8A"/>
          <w:sz w:val="22"/>
          <w:szCs w:val="22"/>
        </w:rPr>
        <w:t xml:space="preserve">Terraform Module Library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CCCCC" w:sz="1"/>
              <w:left w:val="single" w:color="CCCCCC" w:sz="1"/>
              <w:bottom w:val="single" w:color="CCCCCC" w:sz="1"/>
              <w:right w:val="single" w:color="CCCCCC" w:sz="1"/>
            </w:tcBorders>
            <w:shd w:fill="2E75B6"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STANDARD</w:t>
            </w:r>
          </w:p>
        </w:tc>
        <w:tc>
          <w:tcPr>
            <w:tcW w:type="dxa" w:w="7920"/>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20"/>
            </w:tcMar>
          </w:tcPr>
          <w:p>
            <w:r>
              <w:rPr>
                <w:rFonts w:ascii="Arial" w:cs="Arial" w:eastAsia="Arial" w:hAnsi="Arial"/>
                <w:color w:val="1A1A1A"/>
                <w:sz w:val="19"/>
                <w:szCs w:val="19"/>
              </w:rPr>
              <w:t xml:space="preserve">All modules MUST follow the structure below. Non-compliant modules will fail CI gate validation.</w:t>
            </w:r>
          </w:p>
        </w:tc>
      </w:tr>
    </w:tbl>
    <w:p>
      <w:pPr>
        <w:spacing w:after="0" w:before="60"/>
      </w:pPr>
    </w:p>
    <w:p>
      <w:pPr>
        <w:spacing w:after="60" w:before="60"/>
      </w:pPr>
      <w:r>
        <w:rPr>
          <w:rFonts w:ascii="Arial" w:cs="Arial" w:eastAsia="Arial" w:hAnsi="Arial"/>
          <w:color w:val="1A1A1A"/>
          <w:sz w:val="20"/>
          <w:szCs w:val="20"/>
        </w:rPr>
        <w:t xml:space="preserve">Required directory layout for every module in the library:</w:t>
      </w:r>
    </w:p>
    <w:p>
      <w:pPr>
        <w:spacing w:after="0" w:before="40"/>
      </w:pPr>
    </w:p>
    <w:p>
      <w:pPr>
        <w:spacing w:after="20" w:before="60"/>
      </w:pPr>
      <w:r>
        <w:rPr>
          <w:rFonts w:ascii="Courier New" w:cs="Courier New" w:eastAsia="Courier New" w:hAnsi="Courier New"/>
          <w:b/>
          <w:bCs/>
          <w:color w:val="007B8A"/>
          <w:sz w:val="20"/>
          <w:szCs w:val="20"/>
        </w:rPr>
        <w:t xml:space="preserve">modules/&lt;category&gt;/&lt;module-name&gt;/</w:t>
      </w:r>
    </w:p>
    <w:p>
      <w:pPr>
        <w:spacing w:after="0" w:before="0"/>
      </w:pPr>
      <w:r>
        <w:rPr>
          <w:rFonts w:ascii="Courier New" w:cs="Courier New" w:eastAsia="Courier New" w:hAnsi="Courier New"/>
          <w:color w:val="1A1A1A"/>
          <w:sz w:val="19"/>
          <w:szCs w:val="19"/>
        </w:rPr>
        <w:t xml:space="preserve">  ├── main.tf          # Resource definitions</w:t>
      </w:r>
    </w:p>
    <w:p>
      <w:pPr>
        <w:spacing w:after="0" w:before="0"/>
      </w:pPr>
      <w:r>
        <w:rPr>
          <w:rFonts w:ascii="Courier New" w:cs="Courier New" w:eastAsia="Courier New" w:hAnsi="Courier New"/>
          <w:color w:val="1A1A1A"/>
          <w:sz w:val="19"/>
          <w:szCs w:val="19"/>
        </w:rPr>
        <w:t xml:space="preserve">  ├── variables.tf      # Input variable declarations with validation</w:t>
      </w:r>
    </w:p>
    <w:p>
      <w:pPr>
        <w:spacing w:after="0" w:before="0"/>
      </w:pPr>
      <w:r>
        <w:rPr>
          <w:rFonts w:ascii="Courier New" w:cs="Courier New" w:eastAsia="Courier New" w:hAnsi="Courier New"/>
          <w:color w:val="1A1A1A"/>
          <w:sz w:val="19"/>
          <w:szCs w:val="19"/>
        </w:rPr>
        <w:t xml:space="preserve">  ├── outputs.tf        # Output values</w:t>
      </w:r>
    </w:p>
    <w:p>
      <w:pPr>
        <w:spacing w:after="0" w:before="0"/>
      </w:pPr>
      <w:r>
        <w:rPr>
          <w:rFonts w:ascii="Courier New" w:cs="Courier New" w:eastAsia="Courier New" w:hAnsi="Courier New"/>
          <w:color w:val="1A1A1A"/>
          <w:sz w:val="19"/>
          <w:szCs w:val="19"/>
        </w:rPr>
        <w:t xml:space="preserve">  ├── versions.tf       # Required provider + Terraform version constraints</w:t>
      </w:r>
    </w:p>
    <w:p>
      <w:pPr>
        <w:spacing w:after="0" w:before="0"/>
      </w:pPr>
      <w:r>
        <w:rPr>
          <w:rFonts w:ascii="Courier New" w:cs="Courier New" w:eastAsia="Courier New" w:hAnsi="Courier New"/>
          <w:color w:val="1A1A1A"/>
          <w:sz w:val="19"/>
          <w:szCs w:val="19"/>
        </w:rPr>
        <w:t xml:space="preserve">  ├── README.md         # Usage, inputs, outputs, examples (auto-generated via terraform-docs)</w:t>
      </w:r>
    </w:p>
    <w:p>
      <w:pPr>
        <w:spacing w:after="20" w:before="0"/>
      </w:pPr>
      <w:r>
        <w:rPr>
          <w:rFonts w:ascii="Courier New" w:cs="Courier New" w:eastAsia="Courier New" w:hAnsi="Courier New"/>
          <w:color w:val="1A1A1A"/>
          <w:sz w:val="19"/>
          <w:szCs w:val="19"/>
        </w:rPr>
        <w:t xml:space="preserve">  └── tests/            # Terratest integration tests</w:t>
      </w:r>
    </w:p>
    <w:p>
      <w:pPr>
        <w:spacing w:after="0" w:before="80"/>
      </w:pPr>
    </w:p>
    <w:p>
      <w:pPr>
        <w:spacing w:after="60" w:before="200"/>
      </w:pPr>
      <w:r>
        <w:rPr>
          <w:rFonts w:ascii="Arial" w:cs="Arial" w:eastAsia="Arial" w:hAnsi="Arial"/>
          <w:b/>
          <w:bCs/>
          <w:color w:val="007B8A"/>
          <w:sz w:val="22"/>
          <w:szCs w:val="22"/>
        </w:rPr>
        <w:t xml:space="preserve">CI/CD Pipeline Design — Standard Migration Pipeline</w:t>
      </w:r>
    </w:p>
    <w:p>
      <w:pPr>
        <w:spacing w:after="60" w:before="60"/>
      </w:pPr>
      <w:r>
        <w:rPr>
          <w:rFonts w:ascii="Arial" w:cs="Arial" w:eastAsia="Arial" w:hAnsi="Arial"/>
          <w:color w:val="1A1A1A"/>
          <w:sz w:val="20"/>
          <w:szCs w:val="20"/>
        </w:rPr>
        <w:t xml:space="preserve">Every Terraform-based migration pipeline MUST implement the following stage sequence: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3000"/>
        <w:gridCol w:w="2160"/>
      </w:tblGrid>
      <w:tr>
        <w:tc>
          <w:tcPr>
            <w:tcW w:type="dxa" w:w="1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Stage</w:t>
            </w:r>
          </w:p>
        </w:tc>
        <w:tc>
          <w:tcPr>
            <w:tcW w:type="dxa" w:w="24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Tools</w:t>
            </w:r>
          </w:p>
        </w:tc>
        <w:tc>
          <w:tcPr>
            <w:tcW w:type="dxa" w:w="30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Gate Criteria</w:t>
            </w:r>
          </w:p>
        </w:tc>
        <w:tc>
          <w:tcPr>
            <w:tcW w:type="dxa" w:w="21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Environment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1 — Lint &amp; Validate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tflint, terraform validate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Zero lint errors; valid HCL</w:t>
            </w:r>
          </w:p>
        </w:tc>
        <w:tc>
          <w:tcPr>
            <w:tcW w:type="dxa" w:w="2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Agent</w:t>
            </w:r>
          </w:p>
        </w:tc>
      </w:tr>
      <w:tr>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2 — Security Scan</w:t>
            </w:r>
          </w:p>
        </w:tc>
        <w:tc>
          <w:tcPr>
            <w:tcW w:type="dxa" w:w="2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tfsec, Checkov, SonarQube</w:t>
            </w:r>
          </w:p>
        </w:tc>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No HIGH/CRITICAL findings</w:t>
            </w:r>
          </w:p>
        </w:tc>
        <w:tc>
          <w:tcPr>
            <w:tcW w:type="dxa" w:w="21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Agent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3 — Terraform Plan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 Azure RM provider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Plan diff reviewed; no destroy on PROD without approval</w:t>
            </w:r>
          </w:p>
        </w:tc>
        <w:tc>
          <w:tcPr>
            <w:tcW w:type="dxa" w:w="2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DEV backend</w:t>
            </w:r>
          </w:p>
        </w:tc>
      </w:tr>
      <w:tr>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4 — Plan Review Gate</w:t>
            </w:r>
          </w:p>
        </w:tc>
        <w:tc>
          <w:tcPr>
            <w:tcW w:type="dxa" w:w="2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DevOps Approval</w:t>
            </w:r>
          </w:p>
        </w:tc>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Migration Engineer + Architect approval required</w:t>
            </w:r>
          </w:p>
        </w:tc>
        <w:tc>
          <w:tcPr>
            <w:tcW w:type="dxa" w:w="21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Manual gate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5 — Terraform Apply</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w:t>
            </w:r>
          </w:p>
        </w:tc>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Apply succeeds; state stored in Azure Storage</w:t>
            </w:r>
          </w:p>
        </w:tc>
        <w:tc>
          <w:tcPr>
            <w:tcW w:type="dxa" w:w="2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Target env</w:t>
            </w:r>
          </w:p>
        </w:tc>
      </w:tr>
      <w:tr>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6 — Post-Apply Tests</w:t>
            </w:r>
          </w:p>
        </w:tc>
        <w:tc>
          <w:tcPr>
            <w:tcW w:type="dxa" w:w="2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CLI, Python, Terratest</w:t>
            </w:r>
          </w:p>
        </w:tc>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Connectivity, DNS, NSG, app health checks pass</w:t>
            </w:r>
          </w:p>
        </w:tc>
        <w:tc>
          <w:tcPr>
            <w:tcW w:type="dxa" w:w="21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Target env</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7 — Compliance Check</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Policy, Defender for Cloud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Secure Score delta within acceptable threshold</w:t>
            </w:r>
          </w:p>
        </w:tc>
        <w:tc>
          <w:tcPr>
            <w:tcW w:type="dxa" w:w="21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Target env</w:t>
            </w:r>
          </w:p>
        </w:tc>
      </w:tr>
      <w:tr>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8 — Smoke Test</w:t>
            </w:r>
          </w:p>
        </w:tc>
        <w:tc>
          <w:tcPr>
            <w:tcW w:type="dxa" w:w="2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Custom Python / Pester</w:t>
            </w:r>
          </w:p>
        </w:tc>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All workload health endpoints return expected responses</w:t>
            </w:r>
          </w:p>
        </w:tc>
        <w:tc>
          <w:tcPr>
            <w:tcW w:type="dxa" w:w="21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Target env</w:t>
            </w:r>
          </w:p>
        </w:tc>
      </w:tr>
    </w:tbl>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6"/>
                <w:szCs w:val="16"/>
              </w:rPr>
              <w:t xml:space="preserve">PHASE</w:t>
            </w:r>
          </w:p>
          <w:p>
            <w:pPr>
              <w:jc w:val="center"/>
            </w:pPr>
            <w:r>
              <w:rPr>
                <w:rFonts w:ascii="Arial" w:cs="Arial" w:eastAsia="Arial" w:hAnsi="Arial"/>
                <w:b/>
                <w:bCs/>
                <w:color w:val="0D2B4E"/>
                <w:sz w:val="48"/>
                <w:szCs w:val="48"/>
              </w:rPr>
              <w:t xml:space="preserve">4</w:t>
            </w:r>
          </w:p>
        </w:tc>
        <w:tc>
          <w:tcPr>
            <w:tcW w:type="dxa" w:w="7960"/>
            <w:tcBorders>
              <w:top w:val="none" w:color="FFFFFF" w:sz="0"/>
              <w:left w:val="none" w:color="FFFFFF" w:sz="0"/>
              <w:bottom w:val="none" w:color="FFFFFF" w:sz="0"/>
              <w:right w:val="none" w:color="FFFFFF" w:sz="0"/>
            </w:tcBorders>
            <w:shd w:fill="0D2B4E" w:val="clear"/>
            <w:tcMar>
              <w:top w:type="dxa" w:w="140"/>
              <w:left w:type="dxa" w:w="240"/>
              <w:bottom w:type="dxa" w:w="140"/>
              <w:right w:type="dxa" w:w="160"/>
            </w:tcMar>
            <w:vAlign w:val="center"/>
          </w:tcPr>
          <w:p>
            <w:r>
              <w:rPr>
                <w:rFonts w:ascii="Arial" w:cs="Arial" w:eastAsia="Arial" w:hAnsi="Arial"/>
                <w:b/>
                <w:bCs/>
                <w:color w:val="FFFFFF"/>
                <w:sz w:val="30"/>
                <w:szCs w:val="30"/>
              </w:rPr>
              <w:t xml:space="preserve">Migrate &amp; Execute</w:t>
            </w:r>
          </w:p>
          <w:p>
            <w:r>
              <w:rPr>
                <w:rFonts w:ascii="Arial" w:cs="Arial" w:eastAsia="Arial" w:hAnsi="Arial"/>
                <w:color w:val="00B0F0"/>
                <w:sz w:val="20"/>
                <w:szCs w:val="20"/>
              </w:rPr>
              <w:t xml:space="preserve">Wave execution, cutover orchestration, rollback management</w:t>
            </w:r>
          </w:p>
        </w:tc>
      </w:tr>
    </w:tbl>
    <w:p>
      <w:pPr>
        <w:spacing w:after="0" w:before="80"/>
      </w:pPr>
    </w:p>
    <w:p>
      <w:pPr>
        <w:spacing w:after="60" w:before="200"/>
      </w:pPr>
      <w:r>
        <w:rPr>
          <w:rFonts w:ascii="Arial" w:cs="Arial" w:eastAsia="Arial" w:hAnsi="Arial"/>
          <w:b/>
          <w:bCs/>
          <w:color w:val="007B8A"/>
          <w:sz w:val="22"/>
          <w:szCs w:val="22"/>
        </w:rPr>
        <w:t xml:space="preserve">Wave Execution Checklist</w:t>
      </w:r>
    </w:p>
    <w:p>
      <w:pPr>
        <w:pStyle w:val="ListParagraph"/>
        <w:numPr>
          <w:ilvl w:val="0"/>
          <w:numId w:val="3"/>
        </w:numPr>
        <w:spacing w:after="40" w:before="40"/>
      </w:pPr>
      <w:r>
        <w:rPr>
          <w:rFonts w:ascii="Arial" w:cs="Arial" w:eastAsia="Arial" w:hAnsi="Arial"/>
          <w:color w:val="1A1A1A"/>
          <w:sz w:val="20"/>
          <w:szCs w:val="20"/>
        </w:rPr>
        <w:t xml:space="preserve">Pre-wave: Confirm all Landing Zone components are deployed and policy-compliant.</w:t>
      </w:r>
    </w:p>
    <w:p>
      <w:pPr>
        <w:pStyle w:val="ListParagraph"/>
        <w:numPr>
          <w:ilvl w:val="0"/>
          <w:numId w:val="3"/>
        </w:numPr>
        <w:spacing w:after="40" w:before="40"/>
      </w:pPr>
      <w:r>
        <w:rPr>
          <w:rFonts w:ascii="Arial" w:cs="Arial" w:eastAsia="Arial" w:hAnsi="Arial"/>
          <w:color w:val="1A1A1A"/>
          <w:sz w:val="20"/>
          <w:szCs w:val="20"/>
        </w:rPr>
        <w:t xml:space="preserve">Pre-wave: Verify ASR replication is in 'Protected' state for all in-scope VMs; replication lag &lt; 5 minutes.</w:t>
      </w:r>
    </w:p>
    <w:p>
      <w:pPr>
        <w:pStyle w:val="ListParagraph"/>
        <w:numPr>
          <w:ilvl w:val="0"/>
          <w:numId w:val="3"/>
        </w:numPr>
        <w:spacing w:after="40" w:before="40"/>
      </w:pPr>
      <w:r>
        <w:rPr>
          <w:rFonts w:ascii="Arial" w:cs="Arial" w:eastAsia="Arial" w:hAnsi="Arial"/>
          <w:color w:val="1A1A1A"/>
          <w:sz w:val="20"/>
          <w:szCs w:val="20"/>
        </w:rPr>
        <w:t xml:space="preserve">Pre-wave: Execute pre-cutover test failover into isolated network; validate application functionality.</w:t>
      </w:r>
    </w:p>
    <w:p>
      <w:pPr>
        <w:pStyle w:val="ListParagraph"/>
        <w:numPr>
          <w:ilvl w:val="0"/>
          <w:numId w:val="3"/>
        </w:numPr>
        <w:spacing w:after="40" w:before="40"/>
      </w:pPr>
      <w:r>
        <w:rPr>
          <w:rFonts w:ascii="Arial" w:cs="Arial" w:eastAsia="Arial" w:hAnsi="Arial"/>
          <w:color w:val="1A1A1A"/>
          <w:sz w:val="20"/>
          <w:szCs w:val="20"/>
        </w:rPr>
        <w:t xml:space="preserve">Cutover window: Quiesce source workload; trigger ASR planned failover; validate target VM boot.</w:t>
      </w:r>
    </w:p>
    <w:p>
      <w:pPr>
        <w:pStyle w:val="ListParagraph"/>
        <w:numPr>
          <w:ilvl w:val="0"/>
          <w:numId w:val="3"/>
        </w:numPr>
        <w:spacing w:after="40" w:before="40"/>
      </w:pPr>
      <w:r>
        <w:rPr>
          <w:rFonts w:ascii="Arial" w:cs="Arial" w:eastAsia="Arial" w:hAnsi="Arial"/>
          <w:color w:val="1A1A1A"/>
          <w:sz w:val="20"/>
          <w:szCs w:val="20"/>
        </w:rPr>
        <w:t xml:space="preserve">Cutover window: Execute DNS cutover (Azure Private DNS or external DNS TTL reduction pre-planned).</w:t>
      </w:r>
    </w:p>
    <w:p>
      <w:pPr>
        <w:pStyle w:val="ListParagraph"/>
        <w:numPr>
          <w:ilvl w:val="0"/>
          <w:numId w:val="3"/>
        </w:numPr>
        <w:spacing w:after="40" w:before="40"/>
      </w:pPr>
      <w:r>
        <w:rPr>
          <w:rFonts w:ascii="Arial" w:cs="Arial" w:eastAsia="Arial" w:hAnsi="Arial"/>
          <w:color w:val="1A1A1A"/>
          <w:sz w:val="20"/>
          <w:szCs w:val="20"/>
        </w:rPr>
        <w:t xml:space="preserve">Cutover window: Run smoke test suite — connectivity, application health, database connectivity, auth flows.</w:t>
      </w:r>
    </w:p>
    <w:p>
      <w:pPr>
        <w:pStyle w:val="ListParagraph"/>
        <w:numPr>
          <w:ilvl w:val="0"/>
          <w:numId w:val="3"/>
        </w:numPr>
        <w:spacing w:after="40" w:before="40"/>
      </w:pPr>
      <w:r>
        <w:rPr>
          <w:rFonts w:ascii="Arial" w:cs="Arial" w:eastAsia="Arial" w:hAnsi="Arial"/>
          <w:color w:val="1A1A1A"/>
          <w:sz w:val="20"/>
          <w:szCs w:val="20"/>
        </w:rPr>
        <w:t xml:space="preserve">Post-cutover: Monitor for 48 hours; error budget burn rate within tolerance.</w:t>
      </w:r>
    </w:p>
    <w:p>
      <w:pPr>
        <w:pStyle w:val="ListParagraph"/>
        <w:numPr>
          <w:ilvl w:val="0"/>
          <w:numId w:val="3"/>
        </w:numPr>
        <w:spacing w:after="40" w:before="40"/>
      </w:pPr>
      <w:r>
        <w:rPr>
          <w:rFonts w:ascii="Arial" w:cs="Arial" w:eastAsia="Arial" w:hAnsi="Arial"/>
          <w:color w:val="1A1A1A"/>
          <w:sz w:val="20"/>
          <w:szCs w:val="20"/>
        </w:rPr>
        <w:t xml:space="preserve">Post-cutover: Decommission source workload after agreed retention period (typically 30 days).</w:t>
      </w:r>
    </w:p>
    <w:p>
      <w:pPr>
        <w:spacing w:after="0" w:before="80"/>
      </w:pPr>
    </w:p>
    <w:p>
      <w:pPr>
        <w:spacing w:after="60" w:before="200"/>
      </w:pPr>
      <w:r>
        <w:rPr>
          <w:rFonts w:ascii="Arial" w:cs="Arial" w:eastAsia="Arial" w:hAnsi="Arial"/>
          <w:b/>
          <w:bCs/>
          <w:color w:val="007B8A"/>
          <w:sz w:val="22"/>
          <w:szCs w:val="22"/>
        </w:rPr>
        <w:t xml:space="preserve">Rollback Criteria &amp; Procedure</w:t>
      </w:r>
    </w:p>
    <w:p>
      <w:pPr>
        <w:pStyle w:val="ListParagraph"/>
        <w:numPr>
          <w:ilvl w:val="0"/>
          <w:numId w:val="2"/>
        </w:numPr>
        <w:spacing w:after="40" w:before="40"/>
      </w:pPr>
      <w:r>
        <w:rPr>
          <w:rFonts w:ascii="Arial" w:cs="Arial" w:eastAsia="Arial" w:hAnsi="Arial"/>
          <w:color w:val="1A1A1A"/>
          <w:sz w:val="20"/>
          <w:szCs w:val="20"/>
        </w:rPr>
        <w:t xml:space="preserve">Rollback is triggered if: smoke tests fail after 3 retries, application error rate exceeds 5%, or data integrity validation fails.</w:t>
      </w:r>
    </w:p>
    <w:p>
      <w:pPr>
        <w:pStyle w:val="ListParagraph"/>
        <w:numPr>
          <w:ilvl w:val="0"/>
          <w:numId w:val="2"/>
        </w:numPr>
        <w:spacing w:after="40" w:before="40"/>
      </w:pPr>
      <w:r>
        <w:rPr>
          <w:rFonts w:ascii="Arial" w:cs="Arial" w:eastAsia="Arial" w:hAnsi="Arial"/>
          <w:color w:val="1A1A1A"/>
          <w:sz w:val="20"/>
          <w:szCs w:val="20"/>
        </w:rPr>
        <w:t xml:space="preserve">ASR failback: Re-protect target to source; execute failback to on-premises; DNS reverted within RTO window.</w:t>
      </w:r>
    </w:p>
    <w:p>
      <w:pPr>
        <w:pStyle w:val="ListParagraph"/>
        <w:numPr>
          <w:ilvl w:val="0"/>
          <w:numId w:val="2"/>
        </w:numPr>
        <w:spacing w:after="40" w:before="40"/>
      </w:pPr>
      <w:r>
        <w:rPr>
          <w:rFonts w:ascii="Arial" w:cs="Arial" w:eastAsia="Arial" w:hAnsi="Arial"/>
          <w:color w:val="1A1A1A"/>
          <w:sz w:val="20"/>
          <w:szCs w:val="20"/>
        </w:rPr>
        <w:t xml:space="preserve">All rollback decisions require documented approval from Programme Manager and workload owner.</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6"/>
                <w:szCs w:val="16"/>
              </w:rPr>
              <w:t xml:space="preserve">PHASE</w:t>
            </w:r>
          </w:p>
          <w:p>
            <w:pPr>
              <w:jc w:val="center"/>
            </w:pPr>
            <w:r>
              <w:rPr>
                <w:rFonts w:ascii="Arial" w:cs="Arial" w:eastAsia="Arial" w:hAnsi="Arial"/>
                <w:b/>
                <w:bCs/>
                <w:color w:val="0D2B4E"/>
                <w:sz w:val="48"/>
                <w:szCs w:val="48"/>
              </w:rPr>
              <w:t xml:space="preserve">5</w:t>
            </w:r>
          </w:p>
        </w:tc>
        <w:tc>
          <w:tcPr>
            <w:tcW w:type="dxa" w:w="7960"/>
            <w:tcBorders>
              <w:top w:val="none" w:color="FFFFFF" w:sz="0"/>
              <w:left w:val="none" w:color="FFFFFF" w:sz="0"/>
              <w:bottom w:val="none" w:color="FFFFFF" w:sz="0"/>
              <w:right w:val="none" w:color="FFFFFF" w:sz="0"/>
            </w:tcBorders>
            <w:shd w:fill="0D2B4E" w:val="clear"/>
            <w:tcMar>
              <w:top w:type="dxa" w:w="140"/>
              <w:left w:type="dxa" w:w="240"/>
              <w:bottom w:type="dxa" w:w="140"/>
              <w:right w:type="dxa" w:w="160"/>
            </w:tcMar>
            <w:vAlign w:val="center"/>
          </w:tcPr>
          <w:p>
            <w:r>
              <w:rPr>
                <w:rFonts w:ascii="Arial" w:cs="Arial" w:eastAsia="Arial" w:hAnsi="Arial"/>
                <w:b/>
                <w:bCs/>
                <w:color w:val="FFFFFF"/>
                <w:sz w:val="30"/>
                <w:szCs w:val="30"/>
              </w:rPr>
              <w:t xml:space="preserve">Govern &amp; Secure</w:t>
            </w:r>
          </w:p>
          <w:p>
            <w:r>
              <w:rPr>
                <w:rFonts w:ascii="Arial" w:cs="Arial" w:eastAsia="Arial" w:hAnsi="Arial"/>
                <w:color w:val="00B0F0"/>
                <w:sz w:val="20"/>
                <w:szCs w:val="20"/>
              </w:rPr>
              <w:t xml:space="preserve">Policy enforcement, compliance validation, FinOps, security posture</w:t>
            </w:r>
          </w:p>
        </w:tc>
      </w:tr>
    </w:tbl>
    <w:p>
      <w:pPr>
        <w:spacing w:after="0" w:before="80"/>
      </w:pPr>
    </w:p>
    <w:p>
      <w:pPr>
        <w:spacing w:after="60" w:before="200"/>
      </w:pPr>
      <w:r>
        <w:rPr>
          <w:rFonts w:ascii="Arial" w:cs="Arial" w:eastAsia="Arial" w:hAnsi="Arial"/>
          <w:b/>
          <w:bCs/>
          <w:color w:val="007B8A"/>
          <w:sz w:val="22"/>
          <w:szCs w:val="22"/>
        </w:rPr>
        <w:t xml:space="preserve">Azure Policy Guardrail Catalogue</w:t>
      </w:r>
    </w:p>
    <w:p>
      <w:pPr>
        <w:spacing w:after="60" w:before="60"/>
      </w:pPr>
      <w:r>
        <w:rPr>
          <w:rFonts w:ascii="Arial" w:cs="Arial" w:eastAsia="Arial" w:hAnsi="Arial"/>
          <w:color w:val="1A1A1A"/>
          <w:sz w:val="20"/>
          <w:szCs w:val="20"/>
        </w:rPr>
        <w:t xml:space="preserve">The following policies are deployed as a mandatory initiative (policy set) to all Landing Zone subscriptions via Azure Blueprints: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400"/>
        <w:gridCol w:w="1400"/>
        <w:gridCol w:w="3560"/>
      </w:tblGrid>
      <w:tr>
        <w:tc>
          <w:tcPr>
            <w:tcW w:type="dxa" w:w="30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Policy</w:t>
            </w:r>
          </w:p>
        </w:tc>
        <w:tc>
          <w:tcPr>
            <w:tcW w:type="dxa" w:w="14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Effect</w:t>
            </w:r>
          </w:p>
        </w:tc>
        <w:tc>
          <w:tcPr>
            <w:tcW w:type="dxa" w:w="14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Scope</w:t>
            </w:r>
          </w:p>
        </w:tc>
        <w:tc>
          <w:tcPr>
            <w:tcW w:type="dxa" w:w="35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Rationale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Allowed locations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Deny</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Subscription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Restrict resource creation to approved Azure regions</w:t>
            </w:r>
          </w:p>
        </w:tc>
      </w:tr>
      <w:tr>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Allowed VM SKUs</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Deny</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Subscription</w:t>
            </w:r>
          </w:p>
        </w:tc>
        <w:tc>
          <w:tcPr>
            <w:tcW w:type="dxa" w:w="3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Prevent deployment of unapproved compute sizes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Require tag: Environment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Deny</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Resource Group</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FinOps cost allocation tagging enforcement</w:t>
            </w:r>
          </w:p>
        </w:tc>
      </w:tr>
      <w:tr>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Require tag: WorkloadName</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Deny</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Resource Group</w:t>
            </w:r>
          </w:p>
        </w:tc>
        <w:tc>
          <w:tcPr>
            <w:tcW w:type="dxa" w:w="3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Workload ownership tagging enforcement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Diagnostic settings on all resources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DeployIfNotExists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Subscription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Centralise logs to Log Analytics workspace</w:t>
            </w:r>
          </w:p>
        </w:tc>
      </w:tr>
      <w:tr>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Require HTTPS on storage accounts</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Deny</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Subscription</w:t>
            </w:r>
          </w:p>
        </w:tc>
        <w:tc>
          <w:tcPr>
            <w:tcW w:type="dxa" w:w="3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Enforce secure transfer in transit</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No public IP on VMs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Deny</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Subscription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Enforce private connectivity for all compute</w:t>
            </w:r>
          </w:p>
        </w:tc>
      </w:tr>
      <w:tr>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Key Vault soft delete enabled</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Audit</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Subscription</w:t>
            </w:r>
          </w:p>
        </w:tc>
        <w:tc>
          <w:tcPr>
            <w:tcW w:type="dxa" w:w="3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Protect against accidental secret deletion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Defender for Cloud enabled (Standard)</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DeployIfNotExists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Subscription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Mandatory threat protection on all subscriptions</w:t>
            </w:r>
          </w:p>
        </w:tc>
      </w:tr>
      <w:tr>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NSG flow logs enabled</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DeployIfNotExists</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Subscription</w:t>
            </w:r>
          </w:p>
        </w:tc>
        <w:tc>
          <w:tcPr>
            <w:tcW w:type="dxa" w:w="3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Network traffic visibility for security investigation</w:t>
            </w:r>
          </w:p>
        </w:tc>
      </w:tr>
    </w:tbl>
    <w:p>
      <w:pPr>
        <w:spacing w:after="0" w:before="80"/>
      </w:pPr>
    </w:p>
    <w:p>
      <w:pPr>
        <w:spacing w:after="60" w:before="200"/>
      </w:pPr>
      <w:r>
        <w:rPr>
          <w:rFonts w:ascii="Arial" w:cs="Arial" w:eastAsia="Arial" w:hAnsi="Arial"/>
          <w:b/>
          <w:bCs/>
          <w:color w:val="007B8A"/>
          <w:sz w:val="22"/>
          <w:szCs w:val="22"/>
        </w:rPr>
        <w:t xml:space="preserve">FinOps Governance Standards</w:t>
      </w:r>
    </w:p>
    <w:p>
      <w:pPr>
        <w:pStyle w:val="ListParagraph"/>
        <w:numPr>
          <w:ilvl w:val="0"/>
          <w:numId w:val="2"/>
        </w:numPr>
        <w:spacing w:after="40" w:before="40"/>
      </w:pPr>
      <w:r>
        <w:rPr>
          <w:rFonts w:ascii="Arial" w:cs="Arial" w:eastAsia="Arial" w:hAnsi="Arial"/>
          <w:color w:val="1A1A1A"/>
          <w:sz w:val="20"/>
          <w:szCs w:val="20"/>
        </w:rPr>
        <w:t xml:space="preserve">Mandatory tag taxonomy: Environment, WorkloadName, CostCentre, Owner, MigrationWave — enforced via deny policy.</w:t>
      </w:r>
    </w:p>
    <w:p>
      <w:pPr>
        <w:pStyle w:val="ListParagraph"/>
        <w:numPr>
          <w:ilvl w:val="0"/>
          <w:numId w:val="2"/>
        </w:numPr>
        <w:spacing w:after="40" w:before="40"/>
      </w:pPr>
      <w:r>
        <w:rPr>
          <w:rFonts w:ascii="Arial" w:cs="Arial" w:eastAsia="Arial" w:hAnsi="Arial"/>
          <w:color w:val="1A1A1A"/>
          <w:sz w:val="20"/>
          <w:szCs w:val="20"/>
        </w:rPr>
        <w:t xml:space="preserve">Azure Cost Management budgets set per subscription at 80% (warning) and 100% (critical) alert thresholds.</w:t>
      </w:r>
    </w:p>
    <w:p>
      <w:pPr>
        <w:pStyle w:val="ListParagraph"/>
        <w:numPr>
          <w:ilvl w:val="0"/>
          <w:numId w:val="2"/>
        </w:numPr>
        <w:spacing w:after="40" w:before="40"/>
      </w:pPr>
      <w:r>
        <w:rPr>
          <w:rFonts w:ascii="Arial" w:cs="Arial" w:eastAsia="Arial" w:hAnsi="Arial"/>
          <w:color w:val="1A1A1A"/>
          <w:sz w:val="20"/>
          <w:szCs w:val="20"/>
        </w:rPr>
        <w:t xml:space="preserve">Monthly FinOps review: actual vs. forecast spend per migration wave; reserved instance utilisation report; rightsizing recommendations.</w:t>
      </w:r>
    </w:p>
    <w:p>
      <w:pPr>
        <w:pStyle w:val="ListParagraph"/>
        <w:numPr>
          <w:ilvl w:val="0"/>
          <w:numId w:val="2"/>
        </w:numPr>
        <w:spacing w:after="40" w:before="40"/>
      </w:pPr>
      <w:r>
        <w:rPr>
          <w:rFonts w:ascii="Arial" w:cs="Arial" w:eastAsia="Arial" w:hAnsi="Arial"/>
          <w:color w:val="1A1A1A"/>
          <w:sz w:val="20"/>
          <w:szCs w:val="20"/>
        </w:rPr>
        <w:t xml:space="preserve">Showback/chargeback reporting delivered via Power BI connected to Azure Cost Management export to ADLS Gen2.</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none" w:color="FFFFFF" w:sz="0"/>
              <w:left w:val="none" w:color="FFFFFF" w:sz="0"/>
              <w:bottom w:val="none" w:color="FFFFFF" w:sz="0"/>
              <w:right w:val="none" w:color="FFFFFF" w:sz="0"/>
            </w:tcBorders>
            <w:shd w:fill="00B0F0" w:val="clear"/>
            <w:tcMar>
              <w:top w:type="dxa" w:w="120"/>
              <w:left w:type="dxa" w:w="160"/>
              <w:bottom w:type="dxa" w:w="120"/>
              <w:right w:type="dxa" w:w="160"/>
            </w:tcMar>
            <w:vAlign w:val="center"/>
          </w:tcPr>
          <w:p>
            <w:pPr>
              <w:jc w:val="center"/>
            </w:pPr>
            <w:r>
              <w:rPr>
                <w:rFonts w:ascii="Arial" w:cs="Arial" w:eastAsia="Arial" w:hAnsi="Arial"/>
                <w:b/>
                <w:bCs/>
                <w:color w:val="0D2B4E"/>
                <w:sz w:val="16"/>
                <w:szCs w:val="16"/>
              </w:rPr>
              <w:t xml:space="preserve">PHASE</w:t>
            </w:r>
          </w:p>
          <w:p>
            <w:pPr>
              <w:jc w:val="center"/>
            </w:pPr>
            <w:r>
              <w:rPr>
                <w:rFonts w:ascii="Arial" w:cs="Arial" w:eastAsia="Arial" w:hAnsi="Arial"/>
                <w:b/>
                <w:bCs/>
                <w:color w:val="0D2B4E"/>
                <w:sz w:val="48"/>
                <w:szCs w:val="48"/>
              </w:rPr>
              <w:t xml:space="preserve">6</w:t>
            </w:r>
          </w:p>
        </w:tc>
        <w:tc>
          <w:tcPr>
            <w:tcW w:type="dxa" w:w="7960"/>
            <w:tcBorders>
              <w:top w:val="none" w:color="FFFFFF" w:sz="0"/>
              <w:left w:val="none" w:color="FFFFFF" w:sz="0"/>
              <w:bottom w:val="none" w:color="FFFFFF" w:sz="0"/>
              <w:right w:val="none" w:color="FFFFFF" w:sz="0"/>
            </w:tcBorders>
            <w:shd w:fill="0D2B4E" w:val="clear"/>
            <w:tcMar>
              <w:top w:type="dxa" w:w="140"/>
              <w:left w:type="dxa" w:w="240"/>
              <w:bottom w:type="dxa" w:w="140"/>
              <w:right w:type="dxa" w:w="160"/>
            </w:tcMar>
            <w:vAlign w:val="center"/>
          </w:tcPr>
          <w:p>
            <w:r>
              <w:rPr>
                <w:rFonts w:ascii="Arial" w:cs="Arial" w:eastAsia="Arial" w:hAnsi="Arial"/>
                <w:b/>
                <w:bCs/>
                <w:color w:val="FFFFFF"/>
                <w:sz w:val="30"/>
                <w:szCs w:val="30"/>
              </w:rPr>
              <w:t xml:space="preserve">Operate &amp; Optimise</w:t>
            </w:r>
          </w:p>
          <w:p>
            <w:r>
              <w:rPr>
                <w:rFonts w:ascii="Arial" w:cs="Arial" w:eastAsia="Arial" w:hAnsi="Arial"/>
                <w:color w:val="00B0F0"/>
                <w:sz w:val="20"/>
                <w:szCs w:val="20"/>
              </w:rPr>
              <w:t xml:space="preserve">SRE framework, monitoring, DR design, continuous optimisation</w:t>
            </w:r>
          </w:p>
        </w:tc>
      </w:tr>
    </w:tbl>
    <w:p>
      <w:pPr>
        <w:spacing w:after="0" w:before="80"/>
      </w:pPr>
    </w:p>
    <w:p>
      <w:pPr>
        <w:spacing w:after="60" w:before="200"/>
      </w:pPr>
      <w:r>
        <w:rPr>
          <w:rFonts w:ascii="Arial" w:cs="Arial" w:eastAsia="Arial" w:hAnsi="Arial"/>
          <w:b/>
          <w:bCs/>
          <w:color w:val="007B8A"/>
          <w:sz w:val="22"/>
          <w:szCs w:val="22"/>
        </w:rPr>
        <w:t xml:space="preserve">SLO / SLI Framework — Post-Migration Standard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1960"/>
        <w:gridCol w:w="1800"/>
        <w:gridCol w:w="1400"/>
      </w:tblGrid>
      <w:tr>
        <w:tc>
          <w:tcPr>
            <w:tcW w:type="dxa" w:w="24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Workload Tier</w:t>
            </w:r>
          </w:p>
        </w:tc>
        <w:tc>
          <w:tcPr>
            <w:tcW w:type="dxa" w:w="1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Availability SLO</w:t>
            </w:r>
          </w:p>
        </w:tc>
        <w:tc>
          <w:tcPr>
            <w:tcW w:type="dxa" w:w="1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Latency SLI (p99)</w:t>
            </w:r>
          </w:p>
        </w:tc>
        <w:tc>
          <w:tcPr>
            <w:tcW w:type="dxa" w:w="1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Error Rate SLO</w:t>
            </w:r>
          </w:p>
        </w:tc>
        <w:tc>
          <w:tcPr>
            <w:tcW w:type="dxa" w:w="14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Error Budget (30d)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Tier 1 — Mission Critical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99.95%</w:t>
            </w:r>
          </w:p>
        </w:tc>
        <w:tc>
          <w:tcPr>
            <w:tcW w:type="dxa" w:w="1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&lt; 200 ms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&lt; 0.1%</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21.6 minutes</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Tier 2 — Business Critical</w:t>
            </w:r>
          </w:p>
        </w:tc>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99.9%</w:t>
            </w:r>
          </w:p>
        </w:tc>
        <w:tc>
          <w:tcPr>
            <w:tcW w:type="dxa" w:w="1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&lt; 500 ms</w:t>
            </w:r>
          </w:p>
        </w:tc>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&lt; 0.5%</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43.2 minutes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Tier 3 — Standard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99.5%</w:t>
            </w:r>
          </w:p>
        </w:tc>
        <w:tc>
          <w:tcPr>
            <w:tcW w:type="dxa" w:w="1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&lt; 1000 ms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&lt; 1%</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3.6 hours</w:t>
            </w:r>
          </w:p>
        </w:tc>
      </w:tr>
      <w:tr>
        <w:tc>
          <w:tcPr>
            <w:tcW w:type="dxa" w:w="2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Tier 4 — Non-Critical</w:t>
            </w:r>
          </w:p>
        </w:tc>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99.0%</w:t>
            </w:r>
          </w:p>
        </w:tc>
        <w:tc>
          <w:tcPr>
            <w:tcW w:type="dxa" w:w="1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&lt; 2000 ms</w:t>
            </w:r>
          </w:p>
        </w:tc>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&lt; 2%</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7.2 hours</w:t>
            </w:r>
          </w:p>
        </w:tc>
      </w:tr>
    </w:tbl>
    <w:p>
      <w:pPr>
        <w:spacing w:after="0" w:before="80"/>
      </w:pPr>
    </w:p>
    <w:p>
      <w:pPr>
        <w:spacing w:after="60" w:before="200"/>
      </w:pPr>
      <w:r>
        <w:rPr>
          <w:rFonts w:ascii="Arial" w:cs="Arial" w:eastAsia="Arial" w:hAnsi="Arial"/>
          <w:b/>
          <w:bCs/>
          <w:color w:val="007B8A"/>
          <w:sz w:val="22"/>
          <w:szCs w:val="22"/>
        </w:rPr>
        <w:t xml:space="preserve">Disaster Recovery Design Requirements</w:t>
      </w:r>
    </w:p>
    <w:p>
      <w:pPr>
        <w:pStyle w:val="ListParagraph"/>
        <w:numPr>
          <w:ilvl w:val="0"/>
          <w:numId w:val="2"/>
        </w:numPr>
        <w:spacing w:after="40" w:before="40"/>
      </w:pPr>
      <w:r>
        <w:rPr>
          <w:rFonts w:ascii="Arial" w:cs="Arial" w:eastAsia="Arial" w:hAnsi="Arial"/>
          <w:color w:val="1A1A1A"/>
          <w:sz w:val="20"/>
          <w:szCs w:val="20"/>
        </w:rPr>
        <w:t xml:space="preserve">Each migrated workload is classified with an RPO and RTO target based on Tier classification above.</w:t>
      </w:r>
    </w:p>
    <w:p>
      <w:pPr>
        <w:pStyle w:val="ListParagraph"/>
        <w:numPr>
          <w:ilvl w:val="0"/>
          <w:numId w:val="2"/>
        </w:numPr>
        <w:spacing w:after="40" w:before="40"/>
      </w:pPr>
      <w:r>
        <w:rPr>
          <w:rFonts w:ascii="Arial" w:cs="Arial" w:eastAsia="Arial" w:hAnsi="Arial"/>
          <w:color w:val="1A1A1A"/>
          <w:sz w:val="20"/>
          <w:szCs w:val="20"/>
        </w:rPr>
        <w:t xml:space="preserve">Tier 1/2 workloads: Azure Site Recovery cross-region replication configured and tested quarterly via automated failover pipeline.</w:t>
      </w:r>
    </w:p>
    <w:p>
      <w:pPr>
        <w:pStyle w:val="ListParagraph"/>
        <w:numPr>
          <w:ilvl w:val="0"/>
          <w:numId w:val="2"/>
        </w:numPr>
        <w:spacing w:after="40" w:before="40"/>
      </w:pPr>
      <w:r>
        <w:rPr>
          <w:rFonts w:ascii="Arial" w:cs="Arial" w:eastAsia="Arial" w:hAnsi="Arial"/>
          <w:color w:val="1A1A1A"/>
          <w:sz w:val="20"/>
          <w:szCs w:val="20"/>
        </w:rPr>
        <w:t xml:space="preserve">DR runbooks authored per workload: step-by-step failover procedure, contact list, validation checklist, and failback procedure.</w:t>
      </w:r>
    </w:p>
    <w:p>
      <w:pPr>
        <w:pStyle w:val="ListParagraph"/>
        <w:numPr>
          <w:ilvl w:val="0"/>
          <w:numId w:val="2"/>
        </w:numPr>
        <w:spacing w:after="40" w:before="40"/>
      </w:pPr>
      <w:r>
        <w:rPr>
          <w:rFonts w:ascii="Arial" w:cs="Arial" w:eastAsia="Arial" w:hAnsi="Arial"/>
          <w:color w:val="1A1A1A"/>
          <w:sz w:val="20"/>
          <w:szCs w:val="20"/>
        </w:rPr>
        <w:t xml:space="preserve">Annual DR test required as minimum; results documented and sign-off obtained from workload owner and CISO.</w:t>
      </w:r>
    </w:p>
    <w:p>
      <w:pPr>
        <w:spacing w:after="0" w:before="80"/>
      </w:pPr>
    </w:p>
    <w:p>
      <w:r>
        <w:br w:type="page"/>
      </w:r>
    </w:p>
    <w:p>
      <w:pPr>
        <w:shd w:fill="0D2B4E" w:val="clear"/>
        <w:spacing w:after="120" w:before="0"/>
        <w:ind w:left="240" w:right="240"/>
      </w:pPr>
      <w:bookmarkStart w:name="s5" w:id="15"/>
      <w:r>
        <w:rPr>
          <w:rFonts w:ascii="Arial" w:cs="Arial" w:eastAsia="Arial" w:hAnsi="Arial"/>
          <w:b/>
          <w:bCs/>
          <w:color w:val="FFFFFF"/>
          <w:sz w:val="36"/>
          <w:szCs w:val="36"/>
        </w:rPr>
        <w:t xml:space="preserve">5.  Sprint Delivery Framework</w:t>
      </w:r>
      <w:bookmarkEnd w:id="1014"/>
    </w:p>
    <w:p>
      <w:pPr>
        <w:spacing w:after="0" w:before="80"/>
      </w:pPr>
    </w:p>
    <w:p>
      <w:pPr>
        <w:spacing w:after="60" w:before="60"/>
      </w:pPr>
      <w:r>
        <w:rPr>
          <w:rFonts w:ascii="Arial" w:cs="Arial" w:eastAsia="Arial" w:hAnsi="Arial"/>
          <w:color w:val="1A1A1A"/>
          <w:sz w:val="20"/>
          <w:szCs w:val="20"/>
        </w:rPr>
        <w:t xml:space="preserve">Migration engineering delivery is structured in 2-week Agile sprints. The following standards apply across all migration workstreams to ensure consistent, measurable, and auditable delivery.</w:t>
      </w:r>
    </w:p>
    <w:p>
      <w:pPr>
        <w:spacing w:after="0" w:before="80"/>
      </w:pPr>
    </w:p>
    <w:p>
      <w:pPr>
        <w:spacing w:after="60" w:before="280"/>
      </w:pPr>
      <w:bookmarkStart w:name="s51" w:id="16"/>
      <w:r>
        <w:rPr>
          <w:rFonts w:ascii="Arial" w:cs="Arial" w:eastAsia="Arial" w:hAnsi="Arial"/>
          <w:b/>
          <w:bCs/>
          <w:color w:val="1F4E79"/>
          <w:sz w:val="28"/>
          <w:szCs w:val="28"/>
        </w:rPr>
        <w:t xml:space="preserve">5.1  Backlog Structure</w:t>
      </w:r>
      <w:bookmarkEnd w:id="1015"/>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800"/>
        <w:gridCol w:w="3960"/>
      </w:tblGrid>
      <w:tr>
        <w:tc>
          <w:tcPr>
            <w:tcW w:type="dxa" w:w="1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Level</w:t>
            </w:r>
          </w:p>
        </w:tc>
        <w:tc>
          <w:tcPr>
            <w:tcW w:type="dxa" w:w="3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Example</w:t>
            </w:r>
          </w:p>
        </w:tc>
        <w:tc>
          <w:tcPr>
            <w:tcW w:type="dxa" w:w="3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Acceptance Criteria Standard</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Epic</w:t>
            </w:r>
          </w:p>
        </w:tc>
        <w:tc>
          <w:tcPr>
            <w:tcW w:type="dxa" w:w="3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Wave 3 — Data Tier Migration</w:t>
            </w:r>
          </w:p>
        </w:tc>
        <w:tc>
          <w:tcPr>
            <w:tcW w:type="dxa" w:w="3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All child features delivered; architecture sign-off received; ARB approved</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Feature</w:t>
            </w:r>
          </w:p>
        </w:tc>
        <w:tc>
          <w:tcPr>
            <w:tcW w:type="dxa" w:w="3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Terraform Landing Zone — Networking</w:t>
            </w:r>
          </w:p>
        </w:tc>
        <w:tc>
          <w:tcPr>
            <w:tcW w:type="dxa" w:w="3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Module deployed to DEV/QA/PROD; pipeline green; compliance check passed</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User Story</w:t>
            </w:r>
          </w:p>
        </w:tc>
        <w:tc>
          <w:tcPr>
            <w:tcW w:type="dxa" w:w="3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As a Migration Engineer, I need a reusable NSG module...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Module authored, linted, scanned, tested, peer reviewed, merged, deployed</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Spike</w:t>
            </w:r>
          </w:p>
        </w:tc>
        <w:tc>
          <w:tcPr>
            <w:tcW w:type="dxa" w:w="3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Investigate Azure API provider for Private Link preview</w:t>
            </w:r>
          </w:p>
        </w:tc>
        <w:tc>
          <w:tcPr>
            <w:tcW w:type="dxa" w:w="3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Decision documented; use/no-use recommendation recorded in ADR</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Bug / Debt</w:t>
            </w:r>
          </w:p>
        </w:tc>
        <w:tc>
          <w:tcPr>
            <w:tcW w:type="dxa" w:w="3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tfsec HIGH finding: storage account public access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Finding remediated; pipeline re-run clean; PR merged</w:t>
            </w:r>
          </w:p>
        </w:tc>
      </w:tr>
    </w:tbl>
    <w:p>
      <w:pPr>
        <w:spacing w:after="0" w:before="80"/>
      </w:pPr>
    </w:p>
    <w:p>
      <w:pPr>
        <w:spacing w:after="60" w:before="280"/>
      </w:pPr>
      <w:bookmarkStart w:name="s52" w:id="17"/>
      <w:r>
        <w:rPr>
          <w:rFonts w:ascii="Arial" w:cs="Arial" w:eastAsia="Arial" w:hAnsi="Arial"/>
          <w:b/>
          <w:bCs/>
          <w:color w:val="1F4E79"/>
          <w:sz w:val="28"/>
          <w:szCs w:val="28"/>
        </w:rPr>
        <w:t xml:space="preserve">5.2  Definition of Done (DoD)</w:t>
      </w:r>
      <w:bookmarkEnd w:id="1016"/>
    </w:p>
    <w:p>
      <w:pPr>
        <w:pBdr>
          <w:bottom w:val="single" w:color="2E75B6" w:sz="6" w:space="1"/>
        </w:pBdr>
        <w:spacing w:after="60" w:before="60"/>
      </w:pPr>
    </w:p>
    <w:p>
      <w:pPr>
        <w:spacing w:after="60" w:before="60"/>
      </w:pPr>
      <w:r>
        <w:rPr>
          <w:rFonts w:ascii="Arial" w:cs="Arial" w:eastAsia="Arial" w:hAnsi="Arial"/>
          <w:color w:val="1A1A1A"/>
          <w:sz w:val="20"/>
          <w:szCs w:val="20"/>
        </w:rPr>
        <w:t xml:space="preserve">The following criteria MUST be met before any migration engineering story is marked Done:</w:t>
      </w:r>
    </w:p>
    <w:p>
      <w:pPr>
        <w:spacing w:after="0" w:before="60"/>
      </w:pPr>
    </w:p>
    <w:p>
      <w:pPr>
        <w:pStyle w:val="ListParagraph"/>
        <w:numPr>
          <w:ilvl w:val="0"/>
          <w:numId w:val="2"/>
        </w:numPr>
        <w:spacing w:after="40" w:before="40"/>
      </w:pPr>
      <w:r>
        <w:rPr>
          <w:rFonts w:ascii="Arial" w:cs="Arial" w:eastAsia="Arial" w:hAnsi="Arial"/>
          <w:color w:val="1A1A1A"/>
          <w:sz w:val="20"/>
          <w:szCs w:val="20"/>
        </w:rPr>
        <w:t xml:space="preserve">Code authored, peer-reviewed (minimum 1 approver), and merged to main branch.</w:t>
      </w:r>
    </w:p>
    <w:p>
      <w:pPr>
        <w:pStyle w:val="ListParagraph"/>
        <w:numPr>
          <w:ilvl w:val="0"/>
          <w:numId w:val="2"/>
        </w:numPr>
        <w:spacing w:after="40" w:before="40"/>
      </w:pPr>
      <w:r>
        <w:rPr>
          <w:rFonts w:ascii="Arial" w:cs="Arial" w:eastAsia="Arial" w:hAnsi="Arial"/>
          <w:color w:val="1A1A1A"/>
          <w:sz w:val="20"/>
          <w:szCs w:val="20"/>
        </w:rPr>
        <w:t xml:space="preserve">Pipeline executed successfully: lint, security scan, plan, approval, apply, post-apply tests — all green.</w:t>
      </w:r>
    </w:p>
    <w:p>
      <w:pPr>
        <w:pStyle w:val="ListParagraph"/>
        <w:numPr>
          <w:ilvl w:val="0"/>
          <w:numId w:val="2"/>
        </w:numPr>
        <w:spacing w:after="40" w:before="40"/>
      </w:pPr>
      <w:r>
        <w:rPr>
          <w:rFonts w:ascii="Arial" w:cs="Arial" w:eastAsia="Arial" w:hAnsi="Arial"/>
          <w:color w:val="1A1A1A"/>
          <w:sz w:val="20"/>
          <w:szCs w:val="20"/>
        </w:rPr>
        <w:t xml:space="preserve">No HIGH or CRITICAL tfsec/Checkov findings unresolved.</w:t>
      </w:r>
    </w:p>
    <w:p>
      <w:pPr>
        <w:pStyle w:val="ListParagraph"/>
        <w:numPr>
          <w:ilvl w:val="0"/>
          <w:numId w:val="2"/>
        </w:numPr>
        <w:spacing w:after="40" w:before="40"/>
      </w:pPr>
      <w:r>
        <w:rPr>
          <w:rFonts w:ascii="Arial" w:cs="Arial" w:eastAsia="Arial" w:hAnsi="Arial"/>
          <w:color w:val="1A1A1A"/>
          <w:sz w:val="20"/>
          <w:szCs w:val="20"/>
        </w:rPr>
        <w:t xml:space="preserve">Terraform state stored in Azure Storage backend; no local state files.</w:t>
      </w:r>
    </w:p>
    <w:p>
      <w:pPr>
        <w:pStyle w:val="ListParagraph"/>
        <w:numPr>
          <w:ilvl w:val="0"/>
          <w:numId w:val="2"/>
        </w:numPr>
        <w:spacing w:after="40" w:before="40"/>
      </w:pPr>
      <w:r>
        <w:rPr>
          <w:rFonts w:ascii="Arial" w:cs="Arial" w:eastAsia="Arial" w:hAnsi="Arial"/>
          <w:color w:val="1A1A1A"/>
          <w:sz w:val="20"/>
          <w:szCs w:val="20"/>
        </w:rPr>
        <w:t xml:space="preserve">README.md updated (terraform-docs generated); ADR logged if architectural decision made.</w:t>
      </w:r>
    </w:p>
    <w:p>
      <w:pPr>
        <w:pStyle w:val="ListParagraph"/>
        <w:numPr>
          <w:ilvl w:val="0"/>
          <w:numId w:val="2"/>
        </w:numPr>
        <w:spacing w:after="40" w:before="40"/>
      </w:pPr>
      <w:r>
        <w:rPr>
          <w:rFonts w:ascii="Arial" w:cs="Arial" w:eastAsia="Arial" w:hAnsi="Arial"/>
          <w:color w:val="1A1A1A"/>
          <w:sz w:val="20"/>
          <w:szCs w:val="20"/>
        </w:rPr>
        <w:t xml:space="preserve">Deployed to all target environments (DEV confirmed; QA confirmed; PROD requires additional approval gate).</w:t>
      </w:r>
    </w:p>
    <w:p>
      <w:pPr>
        <w:pStyle w:val="ListParagraph"/>
        <w:numPr>
          <w:ilvl w:val="0"/>
          <w:numId w:val="2"/>
        </w:numPr>
        <w:spacing w:after="40" w:before="40"/>
      </w:pPr>
      <w:r>
        <w:rPr>
          <w:rFonts w:ascii="Arial" w:cs="Arial" w:eastAsia="Arial" w:hAnsi="Arial"/>
          <w:color w:val="1A1A1A"/>
          <w:sz w:val="20"/>
          <w:szCs w:val="20"/>
        </w:rPr>
        <w:t xml:space="preserve">Azure Policy compliance confirmed: zero non-compliant resources post-apply.</w:t>
      </w:r>
    </w:p>
    <w:p>
      <w:pPr>
        <w:pStyle w:val="ListParagraph"/>
        <w:numPr>
          <w:ilvl w:val="0"/>
          <w:numId w:val="2"/>
        </w:numPr>
        <w:spacing w:after="40" w:before="40"/>
      </w:pPr>
      <w:r>
        <w:rPr>
          <w:rFonts w:ascii="Arial" w:cs="Arial" w:eastAsia="Arial" w:hAnsi="Arial"/>
          <w:color w:val="1A1A1A"/>
          <w:sz w:val="20"/>
          <w:szCs w:val="20"/>
        </w:rPr>
        <w:t xml:space="preserve">Story acceptance criteria validated with workload owner or product owner.</w:t>
      </w:r>
    </w:p>
    <w:p>
      <w:pPr>
        <w:spacing w:after="0" w:before="80"/>
      </w:pPr>
    </w:p>
    <w:p>
      <w:pPr>
        <w:spacing w:after="60" w:before="280"/>
      </w:pPr>
      <w:bookmarkStart w:name="s53" w:id="18"/>
      <w:r>
        <w:rPr>
          <w:rFonts w:ascii="Arial" w:cs="Arial" w:eastAsia="Arial" w:hAnsi="Arial"/>
          <w:b/>
          <w:bCs/>
          <w:color w:val="1F4E79"/>
          <w:sz w:val="28"/>
          <w:szCs w:val="28"/>
        </w:rPr>
        <w:t xml:space="preserve">5.3  Sprint Ceremonies &amp; Cadence</w:t>
      </w:r>
      <w:bookmarkEnd w:id="1017"/>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1400"/>
        <w:gridCol w:w="3960"/>
      </w:tblGrid>
      <w:tr>
        <w:tc>
          <w:tcPr>
            <w:tcW w:type="dxa" w:w="20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Ceremony</w:t>
            </w:r>
          </w:p>
        </w:tc>
        <w:tc>
          <w:tcPr>
            <w:tcW w:type="dxa" w:w="20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Frequency</w:t>
            </w:r>
          </w:p>
        </w:tc>
        <w:tc>
          <w:tcPr>
            <w:tcW w:type="dxa" w:w="14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Duration</w:t>
            </w:r>
          </w:p>
        </w:tc>
        <w:tc>
          <w:tcPr>
            <w:tcW w:type="dxa" w:w="3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Migration Engineer Role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Sprint Planning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Every 2 weeks (Monday)</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3 hours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Estimates stories; clarifies technical acceptance criteria</w:t>
            </w:r>
          </w:p>
        </w:tc>
      </w:tr>
      <w:tr>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Daily Stand-up</w:t>
            </w:r>
          </w:p>
        </w:tc>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Daily</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15 minutes</w:t>
            </w:r>
          </w:p>
        </w:tc>
        <w:tc>
          <w:tcPr>
            <w:tcW w:type="dxa" w:w="3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Reports progress, blockers, and dependency risks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Backlog Refinement</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Weekly (mid-sprint)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1 hour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Refines upcoming stories; splits epics; documents ADRs</w:t>
            </w:r>
          </w:p>
        </w:tc>
      </w:tr>
      <w:tr>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Sprint Review</w:t>
            </w:r>
          </w:p>
        </w:tc>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Every 2 weeks (Friday)</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1 hour</w:t>
            </w:r>
          </w:p>
        </w:tc>
        <w:tc>
          <w:tcPr>
            <w:tcW w:type="dxa" w:w="3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Demonstrates completed IaC and pipeline deliverables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Retrospective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Every 2 weeks (Friday)</w:t>
            </w:r>
          </w:p>
        </w:tc>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45 minutes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Identifies process improvements for automation/delivery</w:t>
            </w:r>
          </w:p>
        </w:tc>
      </w:tr>
      <w:tr>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Architecture Review</w:t>
            </w:r>
          </w:p>
        </w:tc>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Monthly</w:t>
            </w:r>
          </w:p>
        </w:tc>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2 hours</w:t>
            </w:r>
          </w:p>
        </w:tc>
        <w:tc>
          <w:tcPr>
            <w:tcW w:type="dxa" w:w="3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Presents pattern library updates to ARB for sign-off</w:t>
            </w:r>
          </w:p>
        </w:tc>
      </w:tr>
    </w:tbl>
    <w:p>
      <w:pPr>
        <w:spacing w:after="0" w:before="80"/>
      </w:pPr>
    </w:p>
    <w:p>
      <w:r>
        <w:br w:type="page"/>
      </w:r>
    </w:p>
    <w:p>
      <w:pPr>
        <w:shd w:fill="0D2B4E" w:val="clear"/>
        <w:spacing w:after="120" w:before="0"/>
        <w:ind w:left="240" w:right="240"/>
      </w:pPr>
      <w:bookmarkStart w:name="s6" w:id="19"/>
      <w:r>
        <w:rPr>
          <w:rFonts w:ascii="Arial" w:cs="Arial" w:eastAsia="Arial" w:hAnsi="Arial"/>
          <w:b/>
          <w:bCs/>
          <w:color w:val="FFFFFF"/>
          <w:sz w:val="36"/>
          <w:szCs w:val="36"/>
        </w:rPr>
        <w:t xml:space="preserve">6.  CI / Testing Standards</w:t>
      </w:r>
      <w:bookmarkEnd w:id="1018"/>
    </w:p>
    <w:p>
      <w:pPr>
        <w:spacing w:after="0" w:before="80"/>
      </w:pPr>
    </w:p>
    <w:p>
      <w:pPr>
        <w:spacing w:after="60" w:before="60"/>
      </w:pPr>
      <w:r>
        <w:rPr>
          <w:rFonts w:ascii="Arial" w:cs="Arial" w:eastAsia="Arial" w:hAnsi="Arial"/>
          <w:color w:val="1A1A1A"/>
          <w:sz w:val="20"/>
          <w:szCs w:val="20"/>
        </w:rPr>
        <w:t xml:space="preserve">All Infrastructure-as-Code delivered within a migration programme must pass the following testing gates before being deployed to any environment. Testing is enforced through Azure DevOps pipeline quality gates; no manual override is permitted for CRITICAL/HIGH findings.</w:t>
      </w:r>
    </w:p>
    <w:p>
      <w:pPr>
        <w:spacing w:after="0" w:before="80"/>
      </w:pPr>
    </w:p>
    <w:p>
      <w:pPr>
        <w:spacing w:after="60" w:before="280"/>
      </w:pPr>
      <w:bookmarkStart w:name="s61" w:id="20"/>
      <w:r>
        <w:rPr>
          <w:rFonts w:ascii="Arial" w:cs="Arial" w:eastAsia="Arial" w:hAnsi="Arial"/>
          <w:b/>
          <w:bCs/>
          <w:color w:val="1F4E79"/>
          <w:sz w:val="28"/>
          <w:szCs w:val="28"/>
        </w:rPr>
        <w:t xml:space="preserve">6.1  Static Analysis Gates</w:t>
      </w:r>
      <w:bookmarkEnd w:id="1019"/>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2000"/>
        <w:gridCol w:w="1360"/>
      </w:tblGrid>
      <w:tr>
        <w:tc>
          <w:tcPr>
            <w:tcW w:type="dxa" w:w="20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Tool</w:t>
            </w:r>
          </w:p>
        </w:tc>
        <w:tc>
          <w:tcPr>
            <w:tcW w:type="dxa" w:w="40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Purpose</w:t>
            </w:r>
          </w:p>
        </w:tc>
        <w:tc>
          <w:tcPr>
            <w:tcW w:type="dxa" w:w="20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Failure Threshold</w:t>
            </w:r>
          </w:p>
        </w:tc>
        <w:tc>
          <w:tcPr>
            <w:tcW w:type="dxa" w:w="13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Stage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tflint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 HCL lint: unused variables, invalid provider config, deprecated syntax</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Any error</w:t>
            </w:r>
          </w:p>
        </w:tc>
        <w:tc>
          <w:tcPr>
            <w:tcW w:type="dxa" w:w="13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Pre-plan</w:t>
            </w:r>
          </w:p>
        </w:tc>
      </w:tr>
      <w:tr>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tfsec</w:t>
            </w:r>
          </w:p>
        </w:tc>
        <w:tc>
          <w:tcPr>
            <w:tcW w:type="dxa" w:w="4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Security misconfiguration detection: unencrypted storage, open NSGs, missing HTTPS</w:t>
            </w:r>
          </w:p>
        </w:tc>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Any HIGH or CRITICAL</w:t>
            </w:r>
          </w:p>
        </w:tc>
        <w:tc>
          <w:tcPr>
            <w:tcW w:type="dxa" w:w="13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Pre-plan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Checkov</w:t>
            </w:r>
          </w:p>
        </w:tc>
        <w:tc>
          <w:tcPr>
            <w:tcW w:type="dxa" w:w="4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CIS benchmark compliance checks for Azure resources defined in Terraform</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Any CRITICAL policy failure</w:t>
            </w:r>
          </w:p>
        </w:tc>
        <w:tc>
          <w:tcPr>
            <w:tcW w:type="dxa" w:w="13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Pre-plan</w:t>
            </w:r>
          </w:p>
        </w:tc>
      </w:tr>
      <w:tr>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SonarQube</w:t>
            </w:r>
          </w:p>
        </w:tc>
        <w:tc>
          <w:tcPr>
            <w:tcW w:type="dxa" w:w="4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SAST for Python/Bash/PowerShell automation scripts in the migration pipeline</w:t>
            </w:r>
          </w:p>
        </w:tc>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Quality Gate: Failed</w:t>
            </w:r>
          </w:p>
        </w:tc>
        <w:tc>
          <w:tcPr>
            <w:tcW w:type="dxa" w:w="13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Pre-plan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 validate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HCL schema validation; provider configuration correctness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Any error</w:t>
            </w:r>
          </w:p>
        </w:tc>
        <w:tc>
          <w:tcPr>
            <w:tcW w:type="dxa" w:w="13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Pre-plan</w:t>
            </w:r>
          </w:p>
        </w:tc>
      </w:tr>
      <w:tr>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terraform fmt --check</w:t>
            </w:r>
          </w:p>
        </w:tc>
        <w:tc>
          <w:tcPr>
            <w:tcW w:type="dxa" w:w="4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Code formatting consistency enforcement</w:t>
            </w:r>
          </w:p>
        </w:tc>
        <w:tc>
          <w:tcPr>
            <w:tcW w:type="dxa" w:w="2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Any diff detected</w:t>
            </w:r>
          </w:p>
        </w:tc>
        <w:tc>
          <w:tcPr>
            <w:tcW w:type="dxa" w:w="13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Pre-plan</w:t>
            </w:r>
          </w:p>
        </w:tc>
      </w:tr>
    </w:tbl>
    <w:p>
      <w:pPr>
        <w:spacing w:after="0" w:before="80"/>
      </w:pPr>
    </w:p>
    <w:p>
      <w:pPr>
        <w:spacing w:after="60" w:before="280"/>
      </w:pPr>
      <w:bookmarkStart w:name="s62" w:id="21"/>
      <w:r>
        <w:rPr>
          <w:rFonts w:ascii="Arial" w:cs="Arial" w:eastAsia="Arial" w:hAnsi="Arial"/>
          <w:b/>
          <w:bCs/>
          <w:color w:val="1F4E79"/>
          <w:sz w:val="28"/>
          <w:szCs w:val="28"/>
        </w:rPr>
        <w:t xml:space="preserve">6.2  Infrastructure Integration Tests</w:t>
      </w:r>
      <w:bookmarkEnd w:id="1020"/>
    </w:p>
    <w:p>
      <w:pPr>
        <w:pBdr>
          <w:bottom w:val="single" w:color="2E75B6" w:sz="6" w:space="1"/>
        </w:pBdr>
        <w:spacing w:after="60" w:before="60"/>
      </w:pPr>
    </w:p>
    <w:p>
      <w:pPr>
        <w:spacing w:after="60" w:before="60"/>
      </w:pPr>
      <w:r>
        <w:rPr>
          <w:rFonts w:ascii="Arial" w:cs="Arial" w:eastAsia="Arial" w:hAnsi="Arial"/>
          <w:color w:val="1A1A1A"/>
          <w:sz w:val="20"/>
          <w:szCs w:val="20"/>
        </w:rPr>
        <w:t xml:space="preserve">Post-apply integration tests validate that deployed resources match the intended configuration and pass connectivity and security requirements.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w:tc>
          <w:tcPr>
            <w:tcW w:type="dxa" w:w="22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Test Category</w:t>
            </w:r>
          </w:p>
        </w:tc>
        <w:tc>
          <w:tcPr>
            <w:tcW w:type="dxa" w:w="2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Method</w:t>
            </w:r>
          </w:p>
        </w:tc>
        <w:tc>
          <w:tcPr>
            <w:tcW w:type="dxa" w:w="45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Assertions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Resource existence</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CLI / Terratest</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All expected resources exist in target resource group with correct SKU/config</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Network connectivity</w:t>
            </w:r>
          </w:p>
        </w:tc>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Network Watcher / Python</w:t>
            </w:r>
          </w:p>
        </w:tc>
        <w:tc>
          <w:tcPr>
            <w:tcW w:type="dxa" w:w="4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VNet peering active; private endpoint DNS resolves correctly; NSG allows required ports only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Identity &amp; RBAC</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CLI role assignment query</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Managed identity has required role; no Owner assigned to non-privileged identity</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Policy compliance</w:t>
            </w:r>
          </w:p>
        </w:tc>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Policy REST API</w:t>
            </w:r>
          </w:p>
        </w:tc>
        <w:tc>
          <w:tcPr>
            <w:tcW w:type="dxa" w:w="4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Zero non-compliant resources in subscription after apply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Key Vault access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Python SDK</w:t>
            </w:r>
          </w:p>
        </w:tc>
        <w:tc>
          <w:tcPr>
            <w:tcW w:type="dxa" w:w="4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Pipeline service principal can read secrets; external access denied</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Diagnostic settings</w:t>
            </w:r>
          </w:p>
        </w:tc>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Monitor API</w:t>
            </w:r>
          </w:p>
        </w:tc>
        <w:tc>
          <w:tcPr>
            <w:tcW w:type="dxa" w:w="4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All resource diagnostic logs flowing to correct Log Analytics workspace</w:t>
            </w:r>
          </w:p>
        </w:tc>
      </w:tr>
    </w:tbl>
    <w:p>
      <w:pPr>
        <w:spacing w:after="0" w:before="80"/>
      </w:pPr>
    </w:p>
    <w:p>
      <w:pPr>
        <w:spacing w:after="60" w:before="280"/>
      </w:pPr>
      <w:bookmarkStart w:name="s63" w:id="22"/>
      <w:r>
        <w:rPr>
          <w:rFonts w:ascii="Arial" w:cs="Arial" w:eastAsia="Arial" w:hAnsi="Arial"/>
          <w:b/>
          <w:bCs/>
          <w:color w:val="1F4E79"/>
          <w:sz w:val="28"/>
          <w:szCs w:val="28"/>
        </w:rPr>
        <w:t xml:space="preserve">6.3  Post-Migration Smoke Tests</w:t>
      </w:r>
      <w:bookmarkEnd w:id="1021"/>
    </w:p>
    <w:p>
      <w:pPr>
        <w:pBdr>
          <w:bottom w:val="single" w:color="2E75B6" w:sz="6" w:space="1"/>
        </w:pBdr>
        <w:spacing w:after="60" w:before="60"/>
      </w:pPr>
    </w:p>
    <w:p>
      <w:pPr>
        <w:spacing w:after="60" w:before="60"/>
      </w:pPr>
      <w:r>
        <w:rPr>
          <w:rFonts w:ascii="Arial" w:cs="Arial" w:eastAsia="Arial" w:hAnsi="Arial"/>
          <w:color w:val="1A1A1A"/>
          <w:sz w:val="20"/>
          <w:szCs w:val="20"/>
        </w:rPr>
        <w:t xml:space="preserve">Executed as the final pipeline stage immediately after successful migration cutover:</w:t>
      </w:r>
    </w:p>
    <w:p>
      <w:pPr>
        <w:spacing w:after="0" w:before="60"/>
      </w:pPr>
    </w:p>
    <w:p>
      <w:pPr>
        <w:pStyle w:val="ListParagraph"/>
        <w:numPr>
          <w:ilvl w:val="0"/>
          <w:numId w:val="2"/>
        </w:numPr>
        <w:spacing w:after="40" w:before="40"/>
      </w:pPr>
      <w:r>
        <w:rPr>
          <w:rFonts w:ascii="Arial" w:cs="Arial" w:eastAsia="Arial" w:hAnsi="Arial"/>
          <w:color w:val="1A1A1A"/>
          <w:sz w:val="20"/>
          <w:szCs w:val="20"/>
        </w:rPr>
        <w:t xml:space="preserve">Application health endpoint returns HTTP 200 within SLO-defined latency threshold.</w:t>
      </w:r>
    </w:p>
    <w:p>
      <w:pPr>
        <w:pStyle w:val="ListParagraph"/>
        <w:numPr>
          <w:ilvl w:val="0"/>
          <w:numId w:val="2"/>
        </w:numPr>
        <w:spacing w:after="40" w:before="40"/>
      </w:pPr>
      <w:r>
        <w:rPr>
          <w:rFonts w:ascii="Arial" w:cs="Arial" w:eastAsia="Arial" w:hAnsi="Arial"/>
          <w:color w:val="1A1A1A"/>
          <w:sz w:val="20"/>
          <w:szCs w:val="20"/>
        </w:rPr>
        <w:t xml:space="preserve">Database connection string resolves to private endpoint; no public connection possible.</w:t>
      </w:r>
    </w:p>
    <w:p>
      <w:pPr>
        <w:pStyle w:val="ListParagraph"/>
        <w:numPr>
          <w:ilvl w:val="0"/>
          <w:numId w:val="2"/>
        </w:numPr>
        <w:spacing w:after="40" w:before="40"/>
      </w:pPr>
      <w:r>
        <w:rPr>
          <w:rFonts w:ascii="Arial" w:cs="Arial" w:eastAsia="Arial" w:hAnsi="Arial"/>
          <w:color w:val="1A1A1A"/>
          <w:sz w:val="20"/>
          <w:szCs w:val="20"/>
        </w:rPr>
        <w:t xml:space="preserve">User authentication flow completes successfully via AAD/Entra ID integration.</w:t>
      </w:r>
    </w:p>
    <w:p>
      <w:pPr>
        <w:pStyle w:val="ListParagraph"/>
        <w:numPr>
          <w:ilvl w:val="0"/>
          <w:numId w:val="2"/>
        </w:numPr>
        <w:spacing w:after="40" w:before="40"/>
      </w:pPr>
      <w:r>
        <w:rPr>
          <w:rFonts w:ascii="Arial" w:cs="Arial" w:eastAsia="Arial" w:hAnsi="Arial"/>
          <w:color w:val="1A1A1A"/>
          <w:sz w:val="20"/>
          <w:szCs w:val="20"/>
        </w:rPr>
        <w:t xml:space="preserve">Background job / queue processing: at least one message processed within expected window.</w:t>
      </w:r>
    </w:p>
    <w:p>
      <w:pPr>
        <w:pStyle w:val="ListParagraph"/>
        <w:numPr>
          <w:ilvl w:val="0"/>
          <w:numId w:val="2"/>
        </w:numPr>
        <w:spacing w:after="40" w:before="40"/>
      </w:pPr>
      <w:r>
        <w:rPr>
          <w:rFonts w:ascii="Arial" w:cs="Arial" w:eastAsia="Arial" w:hAnsi="Arial"/>
          <w:color w:val="1A1A1A"/>
          <w:sz w:val="20"/>
          <w:szCs w:val="20"/>
        </w:rPr>
        <w:t xml:space="preserve">Backup job initiates and completes: Azure Backup vault shows successful backup job.</w:t>
      </w:r>
    </w:p>
    <w:p>
      <w:pPr>
        <w:pStyle w:val="ListParagraph"/>
        <w:numPr>
          <w:ilvl w:val="0"/>
          <w:numId w:val="2"/>
        </w:numPr>
        <w:spacing w:after="40" w:before="40"/>
      </w:pPr>
      <w:r>
        <w:rPr>
          <w:rFonts w:ascii="Arial" w:cs="Arial" w:eastAsia="Arial" w:hAnsi="Arial"/>
          <w:color w:val="1A1A1A"/>
          <w:sz w:val="20"/>
          <w:szCs w:val="20"/>
        </w:rPr>
        <w:t xml:space="preserve">Azure Monitor alert fires correctly on injected synthetic error (chaos test); alert routes to correct action group.</w:t>
      </w:r>
    </w:p>
    <w:p>
      <w:pPr>
        <w:pStyle w:val="ListParagraph"/>
        <w:numPr>
          <w:ilvl w:val="0"/>
          <w:numId w:val="2"/>
        </w:numPr>
        <w:spacing w:after="40" w:before="40"/>
      </w:pPr>
      <w:r>
        <w:rPr>
          <w:rFonts w:ascii="Arial" w:cs="Arial" w:eastAsia="Arial" w:hAnsi="Arial"/>
          <w:color w:val="1A1A1A"/>
          <w:sz w:val="20"/>
          <w:szCs w:val="20"/>
        </w:rPr>
        <w:t xml:space="preserve">Defender for Cloud Secure Score for subscription meets or exceeds baseline threshold.</w:t>
      </w:r>
    </w:p>
    <w:p>
      <w:pPr>
        <w:spacing w:after="0" w:before="80"/>
      </w:pPr>
    </w:p>
    <w:p>
      <w:r>
        <w:br w:type="page"/>
      </w:r>
    </w:p>
    <w:p>
      <w:pPr>
        <w:shd w:fill="0D2B4E" w:val="clear"/>
        <w:spacing w:after="120" w:before="0"/>
        <w:ind w:left="240" w:right="240"/>
      </w:pPr>
      <w:bookmarkStart w:name="s7" w:id="23"/>
      <w:r>
        <w:rPr>
          <w:rFonts w:ascii="Arial" w:cs="Arial" w:eastAsia="Arial" w:hAnsi="Arial"/>
          <w:b/>
          <w:bCs/>
          <w:color w:val="FFFFFF"/>
          <w:sz w:val="36"/>
          <w:szCs w:val="36"/>
        </w:rPr>
        <w:t xml:space="preserve">7.  Knowledge Transfer Framework</w:t>
      </w:r>
      <w:bookmarkEnd w:id="1022"/>
    </w:p>
    <w:p>
      <w:pPr>
        <w:spacing w:after="0" w:before="80"/>
      </w:pPr>
    </w:p>
    <w:p>
      <w:pPr>
        <w:spacing w:after="60" w:before="60"/>
      </w:pPr>
      <w:r>
        <w:rPr>
          <w:rFonts w:ascii="Arial" w:cs="Arial" w:eastAsia="Arial" w:hAnsi="Arial"/>
          <w:color w:val="1A1A1A"/>
          <w:sz w:val="20"/>
          <w:szCs w:val="20"/>
        </w:rPr>
        <w:t xml:space="preserve">Knowledge transfer (KT) is a first-class deliverable in every migration programme. The Migration Engineer is responsible for building client engineering capability in parallel with technical delivery, ensuring the client team can operate, extend, and govern the migrated estate independently post-programme.</w:t>
      </w:r>
    </w:p>
    <w:p>
      <w:pPr>
        <w:spacing w:after="0" w:before="80"/>
      </w:pPr>
    </w:p>
    <w:p>
      <w:pPr>
        <w:spacing w:after="60" w:before="280"/>
      </w:pPr>
      <w:bookmarkStart w:name="s71" w:id="24"/>
      <w:r>
        <w:rPr>
          <w:rFonts w:ascii="Arial" w:cs="Arial" w:eastAsia="Arial" w:hAnsi="Arial"/>
          <w:b/>
          <w:bCs/>
          <w:color w:val="1F4E79"/>
          <w:sz w:val="28"/>
          <w:szCs w:val="28"/>
        </w:rPr>
        <w:t xml:space="preserve">7.1  KT Delivery Tracks</w:t>
      </w:r>
      <w:bookmarkEnd w:id="1023"/>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2600"/>
        <w:gridCol w:w="1760"/>
      </w:tblGrid>
      <w:tr>
        <w:tc>
          <w:tcPr>
            <w:tcW w:type="dxa" w:w="2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Track</w:t>
            </w:r>
          </w:p>
        </w:tc>
        <w:tc>
          <w:tcPr>
            <w:tcW w:type="dxa" w:w="24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Audience</w:t>
            </w:r>
          </w:p>
        </w:tc>
        <w:tc>
          <w:tcPr>
            <w:tcW w:type="dxa" w:w="2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Format</w:t>
            </w:r>
          </w:p>
        </w:tc>
        <w:tc>
          <w:tcPr>
            <w:tcW w:type="dxa" w:w="17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Timing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 &amp; IaC Fundamentals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Client infrastructure engineers</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2-day hands-on workshop + lab exercises</w:t>
            </w:r>
          </w:p>
        </w:tc>
        <w:tc>
          <w:tcPr>
            <w:tcW w:type="dxa" w:w="17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Wave 1 kickoff</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DevOps Pipeline Patterns</w:t>
            </w:r>
          </w:p>
        </w:tc>
        <w:tc>
          <w:tcPr>
            <w:tcW w:type="dxa" w:w="2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Client DevOps/platform team</w:t>
            </w:r>
          </w:p>
        </w:tc>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1-day workshop + pipeline walkthrough</w:t>
            </w:r>
          </w:p>
        </w:tc>
        <w:tc>
          <w:tcPr>
            <w:tcW w:type="dxa" w:w="17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Wave 1 kickoff</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Policy &amp; Governance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Client cloud governance team</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Half-day workshop + policy authoring lab</w:t>
            </w:r>
          </w:p>
        </w:tc>
        <w:tc>
          <w:tcPr>
            <w:tcW w:type="dxa" w:w="17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Before Wave 2</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Migration Pattern Library Usage</w:t>
            </w:r>
          </w:p>
        </w:tc>
        <w:tc>
          <w:tcPr>
            <w:tcW w:type="dxa" w:w="2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Client migration team</w:t>
            </w:r>
          </w:p>
        </w:tc>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Recorded demos + wiki documentation</w:t>
            </w:r>
          </w:p>
        </w:tc>
        <w:tc>
          <w:tcPr>
            <w:tcW w:type="dxa" w:w="17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Ongoing per wave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SLO/SLI &amp; Monitoring Framework</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Client SRE / operations team</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Half-day workshop + dashboard walkthrough</w:t>
            </w:r>
          </w:p>
        </w:tc>
        <w:tc>
          <w:tcPr>
            <w:tcW w:type="dxa" w:w="17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Pre-handover</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DR Failover Procedures</w:t>
            </w:r>
          </w:p>
        </w:tc>
        <w:tc>
          <w:tcPr>
            <w:tcW w:type="dxa" w:w="2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Client operations + CISO team</w:t>
            </w:r>
          </w:p>
        </w:tc>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Tabletop exercise + live DR rehearsal</w:t>
            </w:r>
          </w:p>
        </w:tc>
        <w:tc>
          <w:tcPr>
            <w:tcW w:type="dxa" w:w="17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Pre-handover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FinOps &amp; Cost Governance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Client cloud finance team</w:t>
            </w:r>
          </w:p>
        </w:tc>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Half-day workshop + Power BI dashboard walkthrough</w:t>
            </w:r>
          </w:p>
        </w:tc>
        <w:tc>
          <w:tcPr>
            <w:tcW w:type="dxa" w:w="17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Wave 2+</w:t>
            </w:r>
          </w:p>
        </w:tc>
      </w:tr>
    </w:tbl>
    <w:p>
      <w:pPr>
        <w:spacing w:after="0" w:before="80"/>
      </w:pPr>
    </w:p>
    <w:p>
      <w:pPr>
        <w:spacing w:after="60" w:before="280"/>
      </w:pPr>
      <w:bookmarkStart w:name="s72" w:id="25"/>
      <w:r>
        <w:rPr>
          <w:rFonts w:ascii="Arial" w:cs="Arial" w:eastAsia="Arial" w:hAnsi="Arial"/>
          <w:b/>
          <w:bCs/>
          <w:color w:val="1F4E79"/>
          <w:sz w:val="28"/>
          <w:szCs w:val="28"/>
        </w:rPr>
        <w:t xml:space="preserve">7.2  Documentation Standards</w:t>
      </w:r>
      <w:bookmarkEnd w:id="1024"/>
    </w:p>
    <w:p>
      <w:pPr>
        <w:pBdr>
          <w:bottom w:val="single" w:color="2E75B6" w:sz="6" w:space="1"/>
        </w:pBdr>
        <w:spacing w:after="60" w:before="60"/>
      </w:pPr>
    </w:p>
    <w:p>
      <w:pPr>
        <w:spacing w:after="60" w:before="200"/>
      </w:pPr>
      <w:r>
        <w:rPr>
          <w:rFonts w:ascii="Arial" w:cs="Arial" w:eastAsia="Arial" w:hAnsi="Arial"/>
          <w:b/>
          <w:bCs/>
          <w:color w:val="007B8A"/>
          <w:sz w:val="22"/>
          <w:szCs w:val="22"/>
        </w:rPr>
        <w:t xml:space="preserve">Required Documentation Per Migration Wave</w:t>
      </w:r>
    </w:p>
    <w:p>
      <w:pPr>
        <w:pStyle w:val="ListParagraph"/>
        <w:numPr>
          <w:ilvl w:val="0"/>
          <w:numId w:val="2"/>
        </w:numPr>
        <w:spacing w:after="40" w:before="40"/>
      </w:pPr>
      <w:r>
        <w:rPr>
          <w:rFonts w:ascii="Arial" w:cs="Arial" w:eastAsia="Arial" w:hAnsi="Arial"/>
          <w:color w:val="1A1A1A"/>
          <w:sz w:val="20"/>
          <w:szCs w:val="20"/>
        </w:rPr>
        <w:t xml:space="preserve">Architecture Decision Records (ADRs): one per significant technical decision; stored in Azure Repos wiki; template: context / decision / consequences.</w:t>
      </w:r>
    </w:p>
    <w:p>
      <w:pPr>
        <w:pStyle w:val="ListParagraph"/>
        <w:numPr>
          <w:ilvl w:val="0"/>
          <w:numId w:val="2"/>
        </w:numPr>
        <w:spacing w:after="40" w:before="40"/>
      </w:pPr>
      <w:r>
        <w:rPr>
          <w:rFonts w:ascii="Arial" w:cs="Arial" w:eastAsia="Arial" w:hAnsi="Arial"/>
          <w:color w:val="1A1A1A"/>
          <w:sz w:val="20"/>
          <w:szCs w:val="20"/>
        </w:rPr>
        <w:t xml:space="preserve">Per-workload operational runbook: start/stop procedure, patching process, scaling guidance, DR failover steps, escalation matrix.</w:t>
      </w:r>
    </w:p>
    <w:p>
      <w:pPr>
        <w:pStyle w:val="ListParagraph"/>
        <w:numPr>
          <w:ilvl w:val="0"/>
          <w:numId w:val="2"/>
        </w:numPr>
        <w:spacing w:after="40" w:before="40"/>
      </w:pPr>
      <w:r>
        <w:rPr>
          <w:rFonts w:ascii="Arial" w:cs="Arial" w:eastAsia="Arial" w:hAnsi="Arial"/>
          <w:color w:val="1A1A1A"/>
          <w:sz w:val="20"/>
          <w:szCs w:val="20"/>
        </w:rPr>
        <w:t xml:space="preserve">IaC module README (auto-generated via terraform-docs): inputs, outputs, example usage, known limitations.</w:t>
      </w:r>
    </w:p>
    <w:p>
      <w:pPr>
        <w:pStyle w:val="ListParagraph"/>
        <w:numPr>
          <w:ilvl w:val="0"/>
          <w:numId w:val="2"/>
        </w:numPr>
        <w:spacing w:after="40" w:before="40"/>
      </w:pPr>
      <w:r>
        <w:rPr>
          <w:rFonts w:ascii="Arial" w:cs="Arial" w:eastAsia="Arial" w:hAnsi="Arial"/>
          <w:color w:val="1A1A1A"/>
          <w:sz w:val="20"/>
          <w:szCs w:val="20"/>
        </w:rPr>
        <w:t xml:space="preserve">Migration wave retrospective report: lessons learned, pattern improvements, tooling gaps, recommendations for subsequent waves.</w:t>
      </w:r>
    </w:p>
    <w:p>
      <w:pPr>
        <w:pStyle w:val="ListParagraph"/>
        <w:numPr>
          <w:ilvl w:val="0"/>
          <w:numId w:val="2"/>
        </w:numPr>
        <w:spacing w:after="40" w:before="40"/>
      </w:pPr>
      <w:r>
        <w:rPr>
          <w:rFonts w:ascii="Arial" w:cs="Arial" w:eastAsia="Arial" w:hAnsi="Arial"/>
          <w:color w:val="1A1A1A"/>
          <w:sz w:val="20"/>
          <w:szCs w:val="20"/>
        </w:rPr>
        <w:t xml:space="preserve">Handover pack: architecture diagram (current state), RACI, access matrix, support contacts, open risks/issues log.</w:t>
      </w:r>
    </w:p>
    <w:p>
      <w:pPr>
        <w:spacing w:after="0" w:before="60"/>
      </w:pPr>
    </w:p>
    <w:p>
      <w:pPr>
        <w:spacing w:after="60" w:before="200"/>
      </w:pPr>
      <w:r>
        <w:rPr>
          <w:rFonts w:ascii="Arial" w:cs="Arial" w:eastAsia="Arial" w:hAnsi="Arial"/>
          <w:b/>
          <w:bCs/>
          <w:color w:val="007B8A"/>
          <w:sz w:val="22"/>
          <w:szCs w:val="22"/>
        </w:rPr>
        <w:t xml:space="preserve">Wiki Structure Standard</w:t>
      </w:r>
    </w:p>
    <w:p>
      <w:pPr>
        <w:spacing w:after="20" w:before="60"/>
      </w:pPr>
      <w:r>
        <w:rPr>
          <w:rFonts w:ascii="Courier New" w:cs="Courier New" w:eastAsia="Courier New" w:hAnsi="Courier New"/>
          <w:b/>
          <w:bCs/>
          <w:color w:val="0D2B4E"/>
          <w:sz w:val="20"/>
          <w:szCs w:val="20"/>
        </w:rPr>
        <w:t xml:space="preserve">Azure Migration Programme Wiki</w:t>
      </w:r>
    </w:p>
    <w:p>
      <w:pPr>
        <w:spacing w:after="0" w:before="0"/>
      </w:pPr>
      <w:r>
        <w:rPr>
          <w:rFonts w:ascii="Courier New" w:cs="Courier New" w:eastAsia="Courier New" w:hAnsi="Courier New"/>
          <w:color w:val="1A1A1A"/>
          <w:sz w:val="19"/>
          <w:szCs w:val="19"/>
        </w:rPr>
        <w:t xml:space="preserve">├── 01-Getting-Started/         # Onboarding, tooling setup, access requests</w:t>
      </w:r>
    </w:p>
    <w:p>
      <w:pPr>
        <w:spacing w:after="0" w:before="0"/>
      </w:pPr>
      <w:r>
        <w:rPr>
          <w:rFonts w:ascii="Courier New" w:cs="Courier New" w:eastAsia="Courier New" w:hAnsi="Courier New"/>
          <w:color w:val="1A1A1A"/>
          <w:sz w:val="19"/>
          <w:szCs w:val="19"/>
        </w:rPr>
        <w:t xml:space="preserve">├── 02-Architecture/             # Landing Zone design, network diagrams, ADRs</w:t>
      </w:r>
    </w:p>
    <w:p>
      <w:pPr>
        <w:spacing w:after="0" w:before="0"/>
      </w:pPr>
      <w:r>
        <w:rPr>
          <w:rFonts w:ascii="Courier New" w:cs="Courier New" w:eastAsia="Courier New" w:hAnsi="Courier New"/>
          <w:color w:val="1A1A1A"/>
          <w:sz w:val="19"/>
          <w:szCs w:val="19"/>
        </w:rPr>
        <w:t xml:space="preserve">├── 03-IaC-Standards/            # Terraform module catalogue, coding standards, linting rules</w:t>
      </w:r>
    </w:p>
    <w:p>
      <w:pPr>
        <w:spacing w:after="0" w:before="0"/>
      </w:pPr>
      <w:r>
        <w:rPr>
          <w:rFonts w:ascii="Courier New" w:cs="Courier New" w:eastAsia="Courier New" w:hAnsi="Courier New"/>
          <w:color w:val="1A1A1A"/>
          <w:sz w:val="19"/>
          <w:szCs w:val="19"/>
        </w:rPr>
        <w:t xml:space="preserve">├── 04-Pipeline-Patterns/        # Azure DevOps YAML templates, approval gate config</w:t>
      </w:r>
    </w:p>
    <w:p>
      <w:pPr>
        <w:spacing w:after="0" w:before="0"/>
      </w:pPr>
      <w:r>
        <w:rPr>
          <w:rFonts w:ascii="Courier New" w:cs="Courier New" w:eastAsia="Courier New" w:hAnsi="Courier New"/>
          <w:color w:val="1A1A1A"/>
          <w:sz w:val="19"/>
          <w:szCs w:val="19"/>
        </w:rPr>
        <w:t xml:space="preserve">├── 05-Governance/              # Policy catalogue, Blueprint definitions, FinOps standards</w:t>
      </w:r>
    </w:p>
    <w:p>
      <w:pPr>
        <w:spacing w:after="0" w:before="0"/>
      </w:pPr>
      <w:r>
        <w:rPr>
          <w:rFonts w:ascii="Courier New" w:cs="Courier New" w:eastAsia="Courier New" w:hAnsi="Courier New"/>
          <w:color w:val="1A1A1A"/>
          <w:sz w:val="19"/>
          <w:szCs w:val="19"/>
        </w:rPr>
        <w:t xml:space="preserve">├── 06-Migration-Patterns/       # Pattern decision tree, runbooks, cutover checklists per pattern</w:t>
      </w:r>
    </w:p>
    <w:p>
      <w:pPr>
        <w:spacing w:after="0" w:before="0"/>
      </w:pPr>
      <w:r>
        <w:rPr>
          <w:rFonts w:ascii="Courier New" w:cs="Courier New" w:eastAsia="Courier New" w:hAnsi="Courier New"/>
          <w:color w:val="1A1A1A"/>
          <w:sz w:val="19"/>
          <w:szCs w:val="19"/>
        </w:rPr>
        <w:t xml:space="preserve">├── 07-Operations/              # Per-workload runbooks, SLO definitions, escalation matrix</w:t>
      </w:r>
    </w:p>
    <w:p>
      <w:pPr>
        <w:spacing w:after="20" w:before="0"/>
      </w:pPr>
      <w:r>
        <w:rPr>
          <w:rFonts w:ascii="Courier New" w:cs="Courier New" w:eastAsia="Courier New" w:hAnsi="Courier New"/>
          <w:color w:val="1A1A1A"/>
          <w:sz w:val="19"/>
          <w:szCs w:val="19"/>
        </w:rPr>
        <w:t xml:space="preserve">└── 08-Wave-Reports/            # Assessment reports, retrospectives, handover packs per wave</w:t>
      </w:r>
    </w:p>
    <w:p>
      <w:pPr>
        <w:spacing w:after="0" w:before="80"/>
      </w:pPr>
    </w:p>
    <w:p>
      <w:pPr>
        <w:spacing w:after="60" w:before="280"/>
      </w:pPr>
      <w:bookmarkStart w:name="s73" w:id="26"/>
      <w:r>
        <w:rPr>
          <w:rFonts w:ascii="Arial" w:cs="Arial" w:eastAsia="Arial" w:hAnsi="Arial"/>
          <w:b/>
          <w:bCs/>
          <w:color w:val="1F4E79"/>
          <w:sz w:val="28"/>
          <w:szCs w:val="28"/>
        </w:rPr>
        <w:t xml:space="preserve">7.3  Handover Readiness Criteria</w:t>
      </w:r>
      <w:bookmarkEnd w:id="1025"/>
    </w:p>
    <w:p>
      <w:pPr>
        <w:pBdr>
          <w:bottom w:val="single" w:color="2E75B6" w:sz="6" w:space="1"/>
        </w:pBdr>
        <w:spacing w:after="60" w:before="60"/>
      </w:pPr>
    </w:p>
    <w:p>
      <w:pPr>
        <w:spacing w:after="60" w:before="60"/>
      </w:pPr>
      <w:r>
        <w:rPr>
          <w:rFonts w:ascii="Arial" w:cs="Arial" w:eastAsia="Arial" w:hAnsi="Arial"/>
          <w:color w:val="1A1A1A"/>
          <w:sz w:val="20"/>
          <w:szCs w:val="20"/>
        </w:rPr>
        <w:t xml:space="preserve">A migration wave is not considered operationally complete until ALL of the following handover criteria are met and signed off by the client Programme Manager:</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800"/>
        <w:gridCol w:w="2560"/>
      </w:tblGrid>
      <w:tr>
        <w:tc>
          <w:tcPr>
            <w:tcW w:type="dxa" w:w="30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Criteria</w:t>
            </w:r>
          </w:p>
        </w:tc>
        <w:tc>
          <w:tcPr>
            <w:tcW w:type="dxa" w:w="3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Evidence Required</w:t>
            </w:r>
          </w:p>
        </w:tc>
        <w:tc>
          <w:tcPr>
            <w:tcW w:type="dxa" w:w="25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Sign-off</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Runbooks authored for all migrated workloads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Runbooks published to Operations wiki</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Operations Lead</w:t>
            </w:r>
          </w:p>
        </w:tc>
      </w:tr>
      <w:tr>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Client team can independently deploy IaC modules</w:t>
            </w:r>
          </w:p>
        </w:tc>
        <w:tc>
          <w:tcPr>
            <w:tcW w:type="dxa" w:w="3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Witnessed live exercise: client engineer deploys module without assistance</w:t>
            </w:r>
          </w:p>
        </w:tc>
        <w:tc>
          <w:tcPr>
            <w:tcW w:type="dxa" w:w="2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Migration Engineer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Monitoring dashboards configured and understood</w:t>
            </w:r>
          </w:p>
        </w:tc>
        <w:tc>
          <w:tcPr>
            <w:tcW w:type="dxa" w:w="3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Client team walkthrough recorded</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SRE Lead</w:t>
            </w:r>
          </w:p>
        </w:tc>
      </w:tr>
      <w:tr>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DR rehearsal completed and documented</w:t>
            </w:r>
          </w:p>
        </w:tc>
        <w:tc>
          <w:tcPr>
            <w:tcW w:type="dxa" w:w="3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DR test report; RPO/RTO met</w:t>
            </w:r>
          </w:p>
        </w:tc>
        <w:tc>
          <w:tcPr>
            <w:tcW w:type="dxa" w:w="2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CISO / Operations Lead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Access matrix handed over</w:t>
            </w:r>
          </w:p>
        </w:tc>
        <w:tc>
          <w:tcPr>
            <w:tcW w:type="dxa" w:w="3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All service accounts and permissions documented; programme accounts removed</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Security Engineer</w:t>
            </w:r>
          </w:p>
        </w:tc>
      </w:tr>
      <w:tr>
        <w:tc>
          <w:tcPr>
            <w:tcW w:type="dxa" w:w="30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Open risks / issues log reviewed</w:t>
            </w:r>
          </w:p>
        </w:tc>
        <w:tc>
          <w:tcPr>
            <w:tcW w:type="dxa" w:w="3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All P1/P2 issues resolved or risk-accepted with owner assigned</w:t>
            </w:r>
          </w:p>
        </w:tc>
        <w:tc>
          <w:tcPr>
            <w:tcW w:type="dxa" w:w="2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Programme Manager</w:t>
            </w:r>
          </w:p>
        </w:tc>
      </w:tr>
    </w:tbl>
    <w:p>
      <w:pPr>
        <w:spacing w:after="0" w:before="80"/>
      </w:pPr>
    </w:p>
    <w:p>
      <w:r>
        <w:br w:type="page"/>
      </w:r>
    </w:p>
    <w:p>
      <w:pPr>
        <w:shd w:fill="0D2B4E" w:val="clear"/>
        <w:spacing w:after="120" w:before="0"/>
        <w:ind w:left="240" w:right="240"/>
      </w:pPr>
      <w:bookmarkStart w:name="s8" w:id="27"/>
      <w:r>
        <w:rPr>
          <w:rFonts w:ascii="Arial" w:cs="Arial" w:eastAsia="Arial" w:hAnsi="Arial"/>
          <w:b/>
          <w:bCs/>
          <w:color w:val="FFFFFF"/>
          <w:sz w:val="36"/>
          <w:szCs w:val="36"/>
        </w:rPr>
        <w:t xml:space="preserve">8.  Tools &amp; Environment Setup</w:t>
      </w:r>
      <w:bookmarkEnd w:id="1026"/>
    </w:p>
    <w:p>
      <w:pPr>
        <w:spacing w:after="0" w:before="80"/>
      </w:pPr>
    </w:p>
    <w:p>
      <w:pPr>
        <w:spacing w:after="60" w:before="280"/>
      </w:pPr>
      <w:bookmarkStart w:name="s81" w:id="28"/>
      <w:r>
        <w:rPr>
          <w:rFonts w:ascii="Arial" w:cs="Arial" w:eastAsia="Arial" w:hAnsi="Arial"/>
          <w:b/>
          <w:bCs/>
          <w:color w:val="1F4E79"/>
          <w:sz w:val="28"/>
          <w:szCs w:val="28"/>
        </w:rPr>
        <w:t xml:space="preserve">8.1  Required Toolchain</w:t>
      </w:r>
      <w:bookmarkEnd w:id="1027"/>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2800"/>
        <w:gridCol w:w="2560"/>
      </w:tblGrid>
      <w:tr>
        <w:tc>
          <w:tcPr>
            <w:tcW w:type="dxa" w:w="22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Tool</w:t>
            </w:r>
          </w:p>
        </w:tc>
        <w:tc>
          <w:tcPr>
            <w:tcW w:type="dxa" w:w="1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Version Standard</w:t>
            </w:r>
          </w:p>
        </w:tc>
        <w:tc>
          <w:tcPr>
            <w:tcW w:type="dxa" w:w="2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Purpose</w:t>
            </w:r>
          </w:p>
        </w:tc>
        <w:tc>
          <w:tcPr>
            <w:tcW w:type="dxa" w:w="25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Install Method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Latest stable (pin in versions.tf)</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Primary IaC engine</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tfenv (version manager)</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CLI</w:t>
            </w:r>
          </w:p>
        </w:tc>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Latest</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Resource management, scripting</w:t>
            </w:r>
          </w:p>
        </w:tc>
        <w:tc>
          <w:tcPr>
            <w:tcW w:type="dxa" w:w="2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Official installer / Docker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tflint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Latest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 lint</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GitHub Release / pip</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tfsec</w:t>
            </w:r>
          </w:p>
        </w:tc>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Latest</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Terraform security scan</w:t>
            </w:r>
          </w:p>
        </w:tc>
        <w:tc>
          <w:tcPr>
            <w:tcW w:type="dxa" w:w="2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GitHub Release / Homebrew</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Checkov</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Latest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CIS compliance scan</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pip install checkov</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terraform-docs</w:t>
            </w:r>
          </w:p>
        </w:tc>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Latest</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Auto-generate module README</w:t>
            </w:r>
          </w:p>
        </w:tc>
        <w:tc>
          <w:tcPr>
            <w:tcW w:type="dxa" w:w="2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GitHub Release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Terratest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Latest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Go-based integration testing</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go get</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Python 3.11+</w:t>
            </w:r>
          </w:p>
        </w:tc>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3.11 or higher</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Automation, smoke tests, assessment scripts</w:t>
            </w:r>
          </w:p>
        </w:tc>
        <w:tc>
          <w:tcPr>
            <w:tcW w:type="dxa" w:w="2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pyenv</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DevOps CLI</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Latest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Pipeline and repo management</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 extension add</w:t>
            </w:r>
          </w:p>
        </w:tc>
      </w:tr>
      <w:tr>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kubectl</w:t>
            </w:r>
          </w:p>
        </w:tc>
        <w:tc>
          <w:tcPr>
            <w:tcW w:type="dxa" w:w="1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Matches AKS version</w:t>
            </w:r>
          </w:p>
        </w:tc>
        <w:tc>
          <w:tcPr>
            <w:tcW w:type="dxa" w:w="2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Kubernetes cluster management</w:t>
            </w:r>
          </w:p>
        </w:tc>
        <w:tc>
          <w:tcPr>
            <w:tcW w:type="dxa" w:w="25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Official installer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Helm</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v3.x</w:t>
            </w:r>
          </w:p>
        </w:tc>
        <w:tc>
          <w:tcPr>
            <w:tcW w:type="dxa" w:w="2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Kubernetes package management</w:t>
            </w:r>
          </w:p>
        </w:tc>
        <w:tc>
          <w:tcPr>
            <w:tcW w:type="dxa" w:w="2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Official installer</w:t>
            </w:r>
          </w:p>
        </w:tc>
      </w:tr>
    </w:tbl>
    <w:p>
      <w:pPr>
        <w:spacing w:after="0" w:before="80"/>
      </w:pPr>
    </w:p>
    <w:p>
      <w:pPr>
        <w:spacing w:after="60" w:before="280"/>
      </w:pPr>
      <w:bookmarkStart w:name="s82" w:id="29"/>
      <w:r>
        <w:rPr>
          <w:rFonts w:ascii="Arial" w:cs="Arial" w:eastAsia="Arial" w:hAnsi="Arial"/>
          <w:b/>
          <w:bCs/>
          <w:color w:val="1F4E79"/>
          <w:sz w:val="28"/>
          <w:szCs w:val="28"/>
        </w:rPr>
        <w:t xml:space="preserve">8.2  Azure DevOps Project Structure Standard</w:t>
      </w:r>
      <w:bookmarkEnd w:id="1028"/>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800"/>
        <w:gridCol w:w="2960"/>
      </w:tblGrid>
      <w:tr>
        <w:tc>
          <w:tcPr>
            <w:tcW w:type="dxa" w:w="2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Repository</w:t>
            </w:r>
          </w:p>
        </w:tc>
        <w:tc>
          <w:tcPr>
            <w:tcW w:type="dxa" w:w="38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Purpose</w:t>
            </w:r>
          </w:p>
        </w:tc>
        <w:tc>
          <w:tcPr>
            <w:tcW w:type="dxa" w:w="2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Branch Strategy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infra-landing-zone</w:t>
            </w:r>
          </w:p>
        </w:tc>
        <w:tc>
          <w:tcPr>
            <w:tcW w:type="dxa" w:w="3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Landing Zone IaC — networking, identity, management</w:t>
            </w:r>
          </w:p>
        </w:tc>
        <w:tc>
          <w:tcPr>
            <w:tcW w:type="dxa" w:w="2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main + feature/* + env/dev, env/qa, env/prod</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infra-migration-patterns</w:t>
            </w:r>
          </w:p>
        </w:tc>
        <w:tc>
          <w:tcPr>
            <w:tcW w:type="dxa" w:w="3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Pattern library modules — per migration archetype</w:t>
            </w:r>
          </w:p>
        </w:tc>
        <w:tc>
          <w:tcPr>
            <w:tcW w:type="dxa" w:w="2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main + feature/* — semver tagged releases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pipelines-templates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Reusable Azure DevOps YAML pipeline templates</w:t>
            </w:r>
          </w:p>
        </w:tc>
        <w:tc>
          <w:tcPr>
            <w:tcW w:type="dxa" w:w="2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main — consumed by reference across all repos</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migration-governance</w:t>
            </w:r>
          </w:p>
        </w:tc>
        <w:tc>
          <w:tcPr>
            <w:tcW w:type="dxa" w:w="3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Azure Policy definitions, Blueprint specs, RBAC assignments</w:t>
            </w:r>
          </w:p>
        </w:tc>
        <w:tc>
          <w:tcPr>
            <w:tcW w:type="dxa" w:w="2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main + feature/*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migration-automation</w:t>
            </w:r>
          </w:p>
        </w:tc>
        <w:tc>
          <w:tcPr>
            <w:tcW w:type="dxa" w:w="3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Python/PowerShell assessment scripts, smoke test suites</w:t>
            </w:r>
          </w:p>
        </w:tc>
        <w:tc>
          <w:tcPr>
            <w:tcW w:type="dxa" w:w="2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main + feature/*</w:t>
            </w:r>
          </w:p>
        </w:tc>
      </w:tr>
      <w:tr>
        <w:tc>
          <w:tcPr>
            <w:tcW w:type="dxa" w:w="2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workload-&lt;name&gt;</w:t>
            </w:r>
          </w:p>
        </w:tc>
        <w:tc>
          <w:tcPr>
            <w:tcW w:type="dxa" w:w="38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Per-workload IaC and configuration (one repo per workload)</w:t>
            </w:r>
          </w:p>
        </w:tc>
        <w:tc>
          <w:tcPr>
            <w:tcW w:type="dxa" w:w="2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main + feature/* + env branches</w:t>
            </w:r>
          </w:p>
        </w:tc>
      </w:tr>
    </w:tbl>
    <w:p>
      <w:pPr>
        <w:spacing w:after="0" w:before="80"/>
      </w:pPr>
    </w:p>
    <w:p>
      <w:r>
        <w:br w:type="page"/>
      </w:r>
    </w:p>
    <w:p>
      <w:pPr>
        <w:shd w:fill="0D2B4E" w:val="clear"/>
        <w:spacing w:after="120" w:before="0"/>
        <w:ind w:left="240" w:right="240"/>
      </w:pPr>
      <w:bookmarkStart w:name="s9" w:id="30"/>
      <w:r>
        <w:rPr>
          <w:rFonts w:ascii="Arial" w:cs="Arial" w:eastAsia="Arial" w:hAnsi="Arial"/>
          <w:b/>
          <w:bCs/>
          <w:color w:val="FFFFFF"/>
          <w:sz w:val="36"/>
          <w:szCs w:val="36"/>
        </w:rPr>
        <w:t xml:space="preserve">9.  Certifications &amp; Learning Path</w:t>
      </w:r>
      <w:bookmarkEnd w:id="1029"/>
    </w:p>
    <w:p>
      <w:pPr>
        <w:spacing w:after="0" w:before="80"/>
      </w:pPr>
    </w:p>
    <w:p>
      <w:pPr>
        <w:spacing w:after="60" w:before="60"/>
      </w:pPr>
      <w:r>
        <w:rPr>
          <w:rFonts w:ascii="Arial" w:cs="Arial" w:eastAsia="Arial" w:hAnsi="Arial"/>
          <w:color w:val="1A1A1A"/>
          <w:sz w:val="20"/>
          <w:szCs w:val="20"/>
        </w:rPr>
        <w:t xml:space="preserve">The following certification and learning path is recommended for Azure Migration Engineers at each seniority level. Certifications are not mandatory for programme participation but are strongly recommended as validation of competency.</w:t>
      </w:r>
    </w:p>
    <w:p>
      <w:pPr>
        <w:spacing w:after="0" w:before="80"/>
      </w:pPr>
    </w:p>
    <w:p>
      <w:pPr>
        <w:spacing w:after="60" w:before="280"/>
      </w:pPr>
      <w:bookmarkStart w:name="s91" w:id="31"/>
      <w:r>
        <w:rPr>
          <w:rFonts w:ascii="Arial" w:cs="Arial" w:eastAsia="Arial" w:hAnsi="Arial"/>
          <w:b/>
          <w:bCs/>
          <w:color w:val="1F4E79"/>
          <w:sz w:val="28"/>
          <w:szCs w:val="28"/>
        </w:rPr>
        <w:t xml:space="preserve">9.1  Recommended Certification Track</w:t>
      </w:r>
      <w:bookmarkEnd w:id="1030"/>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2200"/>
        <w:gridCol w:w="1960"/>
      </w:tblGrid>
      <w:tr>
        <w:tc>
          <w:tcPr>
            <w:tcW w:type="dxa" w:w="1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Level</w:t>
            </w:r>
          </w:p>
        </w:tc>
        <w:tc>
          <w:tcPr>
            <w:tcW w:type="dxa" w:w="36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Certification</w:t>
            </w:r>
          </w:p>
        </w:tc>
        <w:tc>
          <w:tcPr>
            <w:tcW w:type="dxa" w:w="22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Priority</w:t>
            </w:r>
          </w:p>
        </w:tc>
        <w:tc>
          <w:tcPr>
            <w:tcW w:type="dxa" w:w="1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Rationale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Foundation</w:t>
            </w:r>
          </w:p>
        </w:tc>
        <w:tc>
          <w:tcPr>
            <w:tcW w:type="dxa" w:w="3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AZ-900: Azure Fundamentals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Required (pre-join)</w:t>
            </w:r>
          </w:p>
        </w:tc>
        <w:tc>
          <w:tcPr>
            <w:tcW w:type="dxa" w:w="1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Baseline Azure knowledge validation</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Associate</w:t>
            </w:r>
          </w:p>
        </w:tc>
        <w:tc>
          <w:tcPr>
            <w:tcW w:type="dxa" w:w="3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AZ-104: Azure Administrator Associate</w:t>
            </w:r>
          </w:p>
        </w:tc>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Required</w:t>
            </w:r>
          </w:p>
        </w:tc>
        <w:tc>
          <w:tcPr>
            <w:tcW w:type="dxa" w:w="1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Core Azure resource management and governance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Professional</w:t>
            </w:r>
          </w:p>
        </w:tc>
        <w:tc>
          <w:tcPr>
            <w:tcW w:type="dxa" w:w="3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AZ-305: Azure Solutions Architect Expert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Required</w:t>
            </w:r>
          </w:p>
        </w:tc>
        <w:tc>
          <w:tcPr>
            <w:tcW w:type="dxa" w:w="1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Architecture design, migration patterns, governance</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Specialist</w:t>
            </w:r>
          </w:p>
        </w:tc>
        <w:tc>
          <w:tcPr>
            <w:tcW w:type="dxa" w:w="3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AZ-400: Azure DevOps Engineer Expert</w:t>
            </w:r>
          </w:p>
        </w:tc>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Required</w:t>
            </w:r>
          </w:p>
        </w:tc>
        <w:tc>
          <w:tcPr>
            <w:tcW w:type="dxa" w:w="1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CI/CD pipeline design, GitOps, IaC automation</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Specialist</w:t>
            </w:r>
          </w:p>
        </w:tc>
        <w:tc>
          <w:tcPr>
            <w:tcW w:type="dxa" w:w="3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AZ-500: Azure Security Engineer Associate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Strongly Recommended</w:t>
            </w:r>
          </w:p>
        </w:tc>
        <w:tc>
          <w:tcPr>
            <w:tcW w:type="dxa" w:w="1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Security controls, Defender, Sentinel, Key Vault</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Specialist</w:t>
            </w:r>
          </w:p>
        </w:tc>
        <w:tc>
          <w:tcPr>
            <w:tcW w:type="dxa" w:w="3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AZ-700: Azure Network Engineer Associate</w:t>
            </w:r>
          </w:p>
        </w:tc>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Strongly Recommended</w:t>
            </w:r>
          </w:p>
        </w:tc>
        <w:tc>
          <w:tcPr>
            <w:tcW w:type="dxa" w:w="1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Hub-spoke, ExpressRoute, Private DNS — critical for migration</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Specialist</w:t>
            </w:r>
          </w:p>
        </w:tc>
        <w:tc>
          <w:tcPr>
            <w:tcW w:type="dxa" w:w="3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HashiCorp Terraform Associate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Required</w:t>
            </w:r>
          </w:p>
        </w:tc>
        <w:tc>
          <w:tcPr>
            <w:tcW w:type="dxa" w:w="1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Terraform core competency validation</w:t>
            </w:r>
          </w:p>
        </w:tc>
      </w:tr>
      <w:tr>
        <w:tc>
          <w:tcPr>
            <w:tcW w:type="dxa" w:w="1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Specialist</w:t>
            </w:r>
          </w:p>
        </w:tc>
        <w:tc>
          <w:tcPr>
            <w:tcW w:type="dxa" w:w="36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CKA: Certified Kubernetes Administrator</w:t>
            </w:r>
          </w:p>
        </w:tc>
        <w:tc>
          <w:tcPr>
            <w:tcW w:type="dxa" w:w="22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Recommended (AKS workloads)</w:t>
            </w:r>
          </w:p>
        </w:tc>
        <w:tc>
          <w:tcPr>
            <w:tcW w:type="dxa" w:w="1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Required for programmes with containerisation patterns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Specialist</w:t>
            </w:r>
          </w:p>
        </w:tc>
        <w:tc>
          <w:tcPr>
            <w:tcW w:type="dxa" w:w="36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AWS SAA-C03 (Solutions Architect Associate)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Recommended (multi-cloud)</w:t>
            </w:r>
          </w:p>
        </w:tc>
        <w:tc>
          <w:tcPr>
            <w:tcW w:type="dxa" w:w="1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Hybrid/multi-cloud migration scenarios</w:t>
            </w:r>
          </w:p>
        </w:tc>
      </w:tr>
    </w:tbl>
    <w:p>
      <w:pPr>
        <w:spacing w:after="0" w:before="80"/>
      </w:pPr>
    </w:p>
    <w:p>
      <w:pPr>
        <w:spacing w:after="60" w:before="280"/>
      </w:pPr>
      <w:bookmarkStart w:name="s92" w:id="32"/>
      <w:r>
        <w:rPr>
          <w:rFonts w:ascii="Arial" w:cs="Arial" w:eastAsia="Arial" w:hAnsi="Arial"/>
          <w:b/>
          <w:bCs/>
          <w:color w:val="1F4E79"/>
          <w:sz w:val="28"/>
          <w:szCs w:val="28"/>
        </w:rPr>
        <w:t xml:space="preserve">9.2  Continuous Learning Standards</w:t>
      </w:r>
      <w:bookmarkEnd w:id="1031"/>
    </w:p>
    <w:p>
      <w:pPr>
        <w:pBdr>
          <w:bottom w:val="single" w:color="2E75B6" w:sz="6" w:space="1"/>
        </w:pBdr>
        <w:spacing w:after="60" w:before="60"/>
      </w:pPr>
    </w:p>
    <w:p>
      <w:pPr>
        <w:pStyle w:val="ListParagraph"/>
        <w:numPr>
          <w:ilvl w:val="0"/>
          <w:numId w:val="2"/>
        </w:numPr>
        <w:spacing w:after="40" w:before="40"/>
      </w:pPr>
      <w:r>
        <w:rPr>
          <w:rFonts w:ascii="Arial" w:cs="Arial" w:eastAsia="Arial" w:hAnsi="Arial"/>
          <w:color w:val="1A1A1A"/>
          <w:sz w:val="20"/>
          <w:szCs w:val="20"/>
        </w:rPr>
        <w:t xml:space="preserve">Minimum 40 hours per year of structured learning aligned to migration engineering domain.</w:t>
      </w:r>
    </w:p>
    <w:p>
      <w:pPr>
        <w:pStyle w:val="ListParagraph"/>
        <w:numPr>
          <w:ilvl w:val="0"/>
          <w:numId w:val="2"/>
        </w:numPr>
        <w:spacing w:after="40" w:before="40"/>
      </w:pPr>
      <w:r>
        <w:rPr>
          <w:rFonts w:ascii="Arial" w:cs="Arial" w:eastAsia="Arial" w:hAnsi="Arial"/>
          <w:color w:val="1A1A1A"/>
          <w:sz w:val="20"/>
          <w:szCs w:val="20"/>
        </w:rPr>
        <w:t xml:space="preserve">Attend Microsoft Ignite or equivalent annually; publish internal summary of relevant announcements.</w:t>
      </w:r>
    </w:p>
    <w:p>
      <w:pPr>
        <w:pStyle w:val="ListParagraph"/>
        <w:numPr>
          <w:ilvl w:val="0"/>
          <w:numId w:val="2"/>
        </w:numPr>
        <w:spacing w:after="40" w:before="40"/>
      </w:pPr>
      <w:r>
        <w:rPr>
          <w:rFonts w:ascii="Arial" w:cs="Arial" w:eastAsia="Arial" w:hAnsi="Arial"/>
          <w:color w:val="1A1A1A"/>
          <w:sz w:val="20"/>
          <w:szCs w:val="20"/>
        </w:rPr>
        <w:t xml:space="preserve">Contribute at least 1 new or improved pattern to the module library per quarter.</w:t>
      </w:r>
    </w:p>
    <w:p>
      <w:pPr>
        <w:pStyle w:val="ListParagraph"/>
        <w:numPr>
          <w:ilvl w:val="0"/>
          <w:numId w:val="2"/>
        </w:numPr>
        <w:spacing w:after="40" w:before="40"/>
      </w:pPr>
      <w:r>
        <w:rPr>
          <w:rFonts w:ascii="Arial" w:cs="Arial" w:eastAsia="Arial" w:hAnsi="Arial"/>
          <w:color w:val="1A1A1A"/>
          <w:sz w:val="20"/>
          <w:szCs w:val="20"/>
        </w:rPr>
        <w:t xml:space="preserve">Maintain an individual learning log in the team wiki; share key learnings in monthly engineering guild.</w:t>
      </w:r>
    </w:p>
    <w:p>
      <w:pPr>
        <w:spacing w:after="0" w:before="80"/>
      </w:pPr>
    </w:p>
    <w:p>
      <w:r>
        <w:br w:type="page"/>
      </w:r>
    </w:p>
    <w:p>
      <w:pPr>
        <w:shd w:fill="0D2B4E" w:val="clear"/>
        <w:spacing w:after="120" w:before="0"/>
        <w:ind w:left="240" w:right="240"/>
      </w:pPr>
      <w:bookmarkStart w:name="s10" w:id="33"/>
      <w:r>
        <w:rPr>
          <w:rFonts w:ascii="Arial" w:cs="Arial" w:eastAsia="Arial" w:hAnsi="Arial"/>
          <w:b/>
          <w:bCs/>
          <w:color w:val="FFFFFF"/>
          <w:sz w:val="36"/>
          <w:szCs w:val="36"/>
        </w:rPr>
        <w:t xml:space="preserve">10.  Appendix</w:t>
      </w:r>
      <w:bookmarkEnd w:id="1032"/>
    </w:p>
    <w:p>
      <w:pPr>
        <w:spacing w:after="0" w:before="80"/>
      </w:pPr>
    </w:p>
    <w:p>
      <w:pPr>
        <w:spacing w:after="60" w:before="280"/>
      </w:pPr>
      <w:bookmarkStart w:name="s101" w:id="34"/>
      <w:r>
        <w:rPr>
          <w:rFonts w:ascii="Arial" w:cs="Arial" w:eastAsia="Arial" w:hAnsi="Arial"/>
          <w:b/>
          <w:bCs/>
          <w:color w:val="1F4E79"/>
          <w:sz w:val="28"/>
          <w:szCs w:val="28"/>
        </w:rPr>
        <w:t xml:space="preserve">10.1  Acronyms &amp; Glossary</w:t>
      </w:r>
      <w:bookmarkEnd w:id="1033"/>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Term</w:t>
            </w:r>
          </w:p>
        </w:tc>
        <w:tc>
          <w:tcPr>
            <w:tcW w:type="dxa" w:w="7960"/>
            <w:tcBorders>
              <w:top w:val="single" w:color="CCCCCC" w:sz="1"/>
              <w:left w:val="single" w:color="CCCCCC" w:sz="1"/>
              <w:bottom w:val="single" w:color="CCCCCC" w:sz="1"/>
              <w:right w:val="single" w:color="CCCCCC" w:sz="1"/>
            </w:tcBorders>
            <w:shd w:fill="1F4E79" w:val="clear"/>
            <w:tcMar>
              <w:top w:type="dxa" w:w="80"/>
              <w:left w:type="dxa" w:w="100"/>
              <w:bottom w:type="dxa" w:w="80"/>
              <w:right w:type="dxa" w:w="100"/>
            </w:tcMar>
          </w:tcPr>
          <w:p>
            <w:r>
              <w:rPr>
                <w:rFonts w:ascii="Arial" w:cs="Arial" w:eastAsia="Arial" w:hAnsi="Arial"/>
                <w:b/>
                <w:bCs/>
                <w:color w:val="FFFFFF"/>
                <w:sz w:val="19"/>
                <w:szCs w:val="19"/>
              </w:rPr>
              <w:t xml:space="preserve">Definition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ADR</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Architecture Decision Record — a short document capturing a significant architectural decision, its context, and consequences</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ARB</w:t>
            </w:r>
          </w:p>
        </w:tc>
        <w:tc>
          <w:tcPr>
            <w:tcW w:type="dxa" w:w="7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Architecture Review Board — governance body responsible for approving architectural patterns and standards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ASR</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Site Recovery — Microsoft's DRaaS and VM replication service used for rehost migration pattern</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CAF</w:t>
            </w:r>
          </w:p>
        </w:tc>
        <w:tc>
          <w:tcPr>
            <w:tcW w:type="dxa" w:w="7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Cloud Adoption Framework — Microsoft's guidance for cloud strategy, planning, and migration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DMS</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Azure Database Migration Service — managed service for database schema and data migration to Azure</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DoD</w:t>
            </w:r>
          </w:p>
        </w:tc>
        <w:tc>
          <w:tcPr>
            <w:tcW w:type="dxa" w:w="7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Definition of Done — agreed set of criteria that must be met before a story is marked complete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FinOps</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Financial Operations — practice of managing cloud spend with engineering and finance collaboration</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IaC</w:t>
            </w:r>
          </w:p>
        </w:tc>
        <w:tc>
          <w:tcPr>
            <w:tcW w:type="dxa" w:w="7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Infrastructure-as-Code — infrastructure provisioned and managed through version-controlled code (Terraform, ARM)</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PIM</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Privileged Identity Management — Azure AD feature for just-in-time privileged access management</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RPO</w:t>
            </w:r>
          </w:p>
        </w:tc>
        <w:tc>
          <w:tcPr>
            <w:tcW w:type="dxa" w:w="7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Recovery Point Objective — maximum acceptable data loss measured in time</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RTO</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Recovery Time Objective — maximum acceptable downtime following a disaster event</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SAST</w:t>
            </w:r>
          </w:p>
        </w:tc>
        <w:tc>
          <w:tcPr>
            <w:tcW w:type="dxa" w:w="7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Static Application Security Testing — automated code analysis for security vulnerabilities without execution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SLI</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Service Level Indicator — a quantitative measure of a service characteristic (e.g., availability, latency)</w:t>
            </w:r>
          </w:p>
        </w:tc>
      </w:tr>
      <w:tr>
        <w:tc>
          <w:tcPr>
            <w:tcW w:type="dxa" w:w="140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SLO</w:t>
            </w:r>
          </w:p>
        </w:tc>
        <w:tc>
          <w:tcPr>
            <w:tcW w:type="dxa" w:w="7960"/>
            <w:tcBorders>
              <w:top w:val="single" w:color="CCCCCC" w:sz="1"/>
              <w:left w:val="single" w:color="CCCCCC" w:sz="1"/>
              <w:bottom w:val="single" w:color="CCCCCC" w:sz="1"/>
              <w:right w:val="single" w:color="CCCCCC" w:sz="1"/>
            </w:tcBorders>
            <w:shd w:fill="EBF3FB" w:val="clear"/>
            <w:tcMar>
              <w:top w:type="dxa" w:w="80"/>
              <w:left w:type="dxa" w:w="100"/>
              <w:bottom w:type="dxa" w:w="80"/>
              <w:right w:type="dxa" w:w="100"/>
            </w:tcMar>
          </w:tcPr>
          <w:p>
            <w:r>
              <w:rPr>
                <w:rFonts w:ascii="Arial" w:cs="Arial" w:eastAsia="Arial" w:hAnsi="Arial"/>
                <w:color w:val="1A1A1A"/>
                <w:sz w:val="19"/>
                <w:szCs w:val="19"/>
              </w:rPr>
              <w:t xml:space="preserve">Service Level Objective — a target value for an SLI (e.g., 99.9% availability over 30 days)</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TCO</w:t>
            </w:r>
          </w:p>
        </w:tc>
        <w:tc>
          <w:tcPr>
            <w:tcW w:type="dxa" w:w="79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1A1A1A"/>
                <w:sz w:val="19"/>
                <w:szCs w:val="19"/>
              </w:rPr>
              <w:t xml:space="preserve">Total Cost of Ownership — complete cost assessment including compute, storage, networking, and operational overhead</w:t>
            </w:r>
          </w:p>
        </w:tc>
      </w:tr>
    </w:tbl>
    <w:p>
      <w:pPr>
        <w:spacing w:after="0" w:before="80"/>
      </w:pPr>
    </w:p>
    <w:p>
      <w:pPr>
        <w:spacing w:after="60" w:before="280"/>
      </w:pPr>
      <w:bookmarkStart w:name="s102" w:id="35"/>
      <w:r>
        <w:rPr>
          <w:rFonts w:ascii="Arial" w:cs="Arial" w:eastAsia="Arial" w:hAnsi="Arial"/>
          <w:b/>
          <w:bCs/>
          <w:color w:val="1F4E79"/>
          <w:sz w:val="28"/>
          <w:szCs w:val="28"/>
        </w:rPr>
        <w:t xml:space="preserve">10.2  Reference Architecture — Hub-Spoke Landing Zone</w:t>
      </w:r>
      <w:bookmarkEnd w:id="1034"/>
    </w:p>
    <w:p>
      <w:pPr>
        <w:pBdr>
          <w:bottom w:val="single" w:color="2E75B6" w:sz="6" w:space="1"/>
        </w:pBdr>
        <w:spacing w:after="6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CCCCC" w:sz="1"/>
              <w:left w:val="single" w:color="CCCCCC" w:sz="1"/>
              <w:bottom w:val="single" w:color="CCCCCC" w:sz="1"/>
              <w:right w:val="single" w:color="CCCCCC" w:sz="1"/>
            </w:tcBorders>
            <w:shd w:fill="2E75B6"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NOTE</w:t>
            </w:r>
          </w:p>
        </w:tc>
        <w:tc>
          <w:tcPr>
            <w:tcW w:type="dxa" w:w="7920"/>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20"/>
            </w:tcMar>
          </w:tcPr>
          <w:p>
            <w:r>
              <w:rPr>
                <w:rFonts w:ascii="Arial" w:cs="Arial" w:eastAsia="Arial" w:hAnsi="Arial"/>
                <w:color w:val="1A1A1A"/>
                <w:sz w:val="19"/>
                <w:szCs w:val="19"/>
              </w:rPr>
              <w:t xml:space="preserve">The following describes the standard hub-spoke Landing Zone topology deployed as the foundation for all migration waves. All IaC templates in the pattern library are designed to deploy into this topology.</w:t>
            </w:r>
          </w:p>
        </w:tc>
      </w:tr>
    </w:tbl>
    <w:p>
      <w:pPr>
        <w:spacing w:after="0" w:before="60"/>
      </w:pPr>
    </w:p>
    <w:p>
      <w:pPr>
        <w:spacing w:after="60" w:before="60"/>
      </w:pPr>
      <w:r>
        <w:rPr>
          <w:rFonts w:ascii="Arial" w:cs="Arial" w:eastAsia="Arial" w:hAnsi="Arial"/>
          <w:color w:val="1A1A1A"/>
          <w:sz w:val="20"/>
          <w:szCs w:val="20"/>
        </w:rPr>
        <w:t xml:space="preserve">Hub VNet (Platform Subscription) — Central connectivity and security services:</w:t>
      </w:r>
    </w:p>
    <w:p>
      <w:pPr>
        <w:pStyle w:val="ListParagraph"/>
        <w:numPr>
          <w:ilvl w:val="0"/>
          <w:numId w:val="2"/>
        </w:numPr>
        <w:spacing w:after="40" w:before="40"/>
      </w:pPr>
      <w:r>
        <w:rPr>
          <w:rFonts w:ascii="Arial" w:cs="Arial" w:eastAsia="Arial" w:hAnsi="Arial"/>
          <w:color w:val="1A1A1A"/>
          <w:sz w:val="20"/>
          <w:szCs w:val="20"/>
        </w:rPr>
        <w:t xml:space="preserve">Azure Firewall Premium — centralised egress inspection, IDPS, TLS inspection</w:t>
      </w:r>
    </w:p>
    <w:p>
      <w:pPr>
        <w:pStyle w:val="ListParagraph"/>
        <w:numPr>
          <w:ilvl w:val="0"/>
          <w:numId w:val="2"/>
        </w:numPr>
        <w:spacing w:after="40" w:before="40"/>
      </w:pPr>
      <w:r>
        <w:rPr>
          <w:rFonts w:ascii="Arial" w:cs="Arial" w:eastAsia="Arial" w:hAnsi="Arial"/>
          <w:color w:val="1A1A1A"/>
          <w:sz w:val="20"/>
          <w:szCs w:val="20"/>
        </w:rPr>
        <w:t xml:space="preserve">ExpressRoute / VPN Gateway — on-premises hybrid connectivity for migration traffic and post-migration operations</w:t>
      </w:r>
    </w:p>
    <w:p>
      <w:pPr>
        <w:pStyle w:val="ListParagraph"/>
        <w:numPr>
          <w:ilvl w:val="0"/>
          <w:numId w:val="2"/>
        </w:numPr>
        <w:spacing w:after="40" w:before="40"/>
      </w:pPr>
      <w:r>
        <w:rPr>
          <w:rFonts w:ascii="Arial" w:cs="Arial" w:eastAsia="Arial" w:hAnsi="Arial"/>
          <w:color w:val="1A1A1A"/>
          <w:sz w:val="20"/>
          <w:szCs w:val="20"/>
        </w:rPr>
        <w:t xml:space="preserve">Azure Bastion — secure jump host access; no public IPs on VMs</w:t>
      </w:r>
    </w:p>
    <w:p>
      <w:pPr>
        <w:pStyle w:val="ListParagraph"/>
        <w:numPr>
          <w:ilvl w:val="0"/>
          <w:numId w:val="2"/>
        </w:numPr>
        <w:spacing w:after="40" w:before="40"/>
      </w:pPr>
      <w:r>
        <w:rPr>
          <w:rFonts w:ascii="Arial" w:cs="Arial" w:eastAsia="Arial" w:hAnsi="Arial"/>
          <w:color w:val="1A1A1A"/>
          <w:sz w:val="20"/>
          <w:szCs w:val="20"/>
        </w:rPr>
        <w:t xml:space="preserve">Private DNS Resolver — inbound/outbound DNS forwarding for hybrid name resolution</w:t>
      </w:r>
    </w:p>
    <w:p>
      <w:pPr>
        <w:pStyle w:val="ListParagraph"/>
        <w:numPr>
          <w:ilvl w:val="0"/>
          <w:numId w:val="2"/>
        </w:numPr>
        <w:spacing w:after="40" w:before="40"/>
      </w:pPr>
      <w:r>
        <w:rPr>
          <w:rFonts w:ascii="Arial" w:cs="Arial" w:eastAsia="Arial" w:hAnsi="Arial"/>
          <w:color w:val="1A1A1A"/>
          <w:sz w:val="20"/>
          <w:szCs w:val="20"/>
        </w:rPr>
        <w:t xml:space="preserve">Azure Monitor — centralised Log Analytics workspace; all spokes send diagnostics here</w:t>
      </w:r>
    </w:p>
    <w:p>
      <w:pPr>
        <w:spacing w:after="0" w:before="60"/>
      </w:pPr>
    </w:p>
    <w:p>
      <w:pPr>
        <w:spacing w:after="60" w:before="60"/>
      </w:pPr>
      <w:r>
        <w:rPr>
          <w:rFonts w:ascii="Arial" w:cs="Arial" w:eastAsia="Arial" w:hAnsi="Arial"/>
          <w:color w:val="1A1A1A"/>
          <w:sz w:val="20"/>
          <w:szCs w:val="20"/>
        </w:rPr>
        <w:t xml:space="preserve">Spoke VNets (Workload Landing Zone Subscriptions) — Per-workload isolation:</w:t>
      </w:r>
    </w:p>
    <w:p>
      <w:pPr>
        <w:pStyle w:val="ListParagraph"/>
        <w:numPr>
          <w:ilvl w:val="0"/>
          <w:numId w:val="2"/>
        </w:numPr>
        <w:spacing w:after="40" w:before="40"/>
      </w:pPr>
      <w:r>
        <w:rPr>
          <w:rFonts w:ascii="Arial" w:cs="Arial" w:eastAsia="Arial" w:hAnsi="Arial"/>
          <w:color w:val="1A1A1A"/>
          <w:sz w:val="20"/>
          <w:szCs w:val="20"/>
        </w:rPr>
        <w:t xml:space="preserve">One spoke VNet per workload subscription; peered to hub; no transitive peering between spokes</w:t>
      </w:r>
    </w:p>
    <w:p>
      <w:pPr>
        <w:pStyle w:val="ListParagraph"/>
        <w:numPr>
          <w:ilvl w:val="0"/>
          <w:numId w:val="2"/>
        </w:numPr>
        <w:spacing w:after="40" w:before="40"/>
      </w:pPr>
      <w:r>
        <w:rPr>
          <w:rFonts w:ascii="Arial" w:cs="Arial" w:eastAsia="Arial" w:hAnsi="Arial"/>
          <w:color w:val="1A1A1A"/>
          <w:sz w:val="20"/>
          <w:szCs w:val="20"/>
        </w:rPr>
        <w:t xml:space="preserve">Private endpoints for all PaaS services (Storage, SQL, Key Vault, ACR, Service Bus)</w:t>
      </w:r>
    </w:p>
    <w:p>
      <w:pPr>
        <w:pStyle w:val="ListParagraph"/>
        <w:numPr>
          <w:ilvl w:val="0"/>
          <w:numId w:val="2"/>
        </w:numPr>
        <w:spacing w:after="40" w:before="40"/>
      </w:pPr>
      <w:r>
        <w:rPr>
          <w:rFonts w:ascii="Arial" w:cs="Arial" w:eastAsia="Arial" w:hAnsi="Arial"/>
          <w:color w:val="1A1A1A"/>
          <w:sz w:val="20"/>
          <w:szCs w:val="20"/>
        </w:rPr>
        <w:t xml:space="preserve">NSGs on all subnets; flow logs enabled; traffic only permitted via hub firewall</w:t>
      </w:r>
    </w:p>
    <w:p>
      <w:pPr>
        <w:pStyle w:val="ListParagraph"/>
        <w:numPr>
          <w:ilvl w:val="0"/>
          <w:numId w:val="2"/>
        </w:numPr>
        <w:spacing w:after="40" w:before="40"/>
      </w:pPr>
      <w:r>
        <w:rPr>
          <w:rFonts w:ascii="Arial" w:cs="Arial" w:eastAsia="Arial" w:hAnsi="Arial"/>
          <w:color w:val="1A1A1A"/>
          <w:sz w:val="20"/>
          <w:szCs w:val="20"/>
        </w:rPr>
        <w:t xml:space="preserve">Workload managed identity — no service principal credentials; RBAC-scoped to workload resource group</w:t>
      </w:r>
    </w:p>
    <w:p>
      <w:pPr>
        <w:spacing w:after="0" w:before="80"/>
      </w:pPr>
    </w:p>
    <w:p>
      <w:pPr>
        <w:spacing w:after="60" w:before="280"/>
      </w:pPr>
      <w:bookmarkStart w:name="s103" w:id="36"/>
      <w:r>
        <w:rPr>
          <w:rFonts w:ascii="Arial" w:cs="Arial" w:eastAsia="Arial" w:hAnsi="Arial"/>
          <w:b/>
          <w:bCs/>
          <w:color w:val="1F4E79"/>
          <w:sz w:val="28"/>
          <w:szCs w:val="28"/>
        </w:rPr>
        <w:t xml:space="preserve">10.3  Key Microsoft Documentation References</w:t>
      </w:r>
      <w:bookmarkEnd w:id="1035"/>
    </w:p>
    <w:p>
      <w:pPr>
        <w:pBdr>
          <w:bottom w:val="single" w:color="2E75B6" w:sz="6" w:space="1"/>
        </w:pBdr>
        <w:spacing w:after="60" w:before="60"/>
      </w:pPr>
    </w:p>
    <w:p>
      <w:pPr>
        <w:pStyle w:val="ListParagraph"/>
        <w:numPr>
          <w:ilvl w:val="0"/>
          <w:numId w:val="2"/>
        </w:numPr>
        <w:spacing w:after="40" w:before="40"/>
      </w:pPr>
      <w:r>
        <w:rPr>
          <w:rFonts w:ascii="Arial" w:cs="Arial" w:eastAsia="Arial" w:hAnsi="Arial"/>
          <w:color w:val="1A1A1A"/>
          <w:sz w:val="20"/>
          <w:szCs w:val="20"/>
        </w:rPr>
        <w:t xml:space="preserve">Azure Migrate documentation: https://learn.microsoft.com/azure/migrate/</w:t>
      </w:r>
    </w:p>
    <w:p>
      <w:pPr>
        <w:pStyle w:val="ListParagraph"/>
        <w:numPr>
          <w:ilvl w:val="0"/>
          <w:numId w:val="2"/>
        </w:numPr>
        <w:spacing w:after="40" w:before="40"/>
      </w:pPr>
      <w:r>
        <w:rPr>
          <w:rFonts w:ascii="Arial" w:cs="Arial" w:eastAsia="Arial" w:hAnsi="Arial"/>
          <w:color w:val="1A1A1A"/>
          <w:sz w:val="20"/>
          <w:szCs w:val="20"/>
        </w:rPr>
        <w:t xml:space="preserve">Cloud Adoption Framework: https://learn.microsoft.com/azure/cloud-adoption-framework/</w:t>
      </w:r>
    </w:p>
    <w:p>
      <w:pPr>
        <w:pStyle w:val="ListParagraph"/>
        <w:numPr>
          <w:ilvl w:val="0"/>
          <w:numId w:val="2"/>
        </w:numPr>
        <w:spacing w:after="40" w:before="40"/>
      </w:pPr>
      <w:r>
        <w:rPr>
          <w:rFonts w:ascii="Arial" w:cs="Arial" w:eastAsia="Arial" w:hAnsi="Arial"/>
          <w:color w:val="1A1A1A"/>
          <w:sz w:val="20"/>
          <w:szCs w:val="20"/>
        </w:rPr>
        <w:t xml:space="preserve">Azure Landing Zone reference architecture: https://learn.microsoft.com/azure/architecture/landing-zones/</w:t>
      </w:r>
    </w:p>
    <w:p>
      <w:pPr>
        <w:pStyle w:val="ListParagraph"/>
        <w:numPr>
          <w:ilvl w:val="0"/>
          <w:numId w:val="2"/>
        </w:numPr>
        <w:spacing w:after="40" w:before="40"/>
      </w:pPr>
      <w:r>
        <w:rPr>
          <w:rFonts w:ascii="Arial" w:cs="Arial" w:eastAsia="Arial" w:hAnsi="Arial"/>
          <w:color w:val="1A1A1A"/>
          <w:sz w:val="20"/>
          <w:szCs w:val="20"/>
        </w:rPr>
        <w:t xml:space="preserve">Terraform Azure RM Provider: https://registry.terraform.io/providers/hashicorp/azurerm/</w:t>
      </w:r>
    </w:p>
    <w:p>
      <w:pPr>
        <w:pStyle w:val="ListParagraph"/>
        <w:numPr>
          <w:ilvl w:val="0"/>
          <w:numId w:val="2"/>
        </w:numPr>
        <w:spacing w:after="40" w:before="40"/>
      </w:pPr>
      <w:r>
        <w:rPr>
          <w:rFonts w:ascii="Arial" w:cs="Arial" w:eastAsia="Arial" w:hAnsi="Arial"/>
          <w:color w:val="1A1A1A"/>
          <w:sz w:val="20"/>
          <w:szCs w:val="20"/>
        </w:rPr>
        <w:t xml:space="preserve">Azure Policy built-in definitions: https://learn.microsoft.com/azure/governance/policy/samples/built-in-policies</w:t>
      </w:r>
    </w:p>
    <w:p>
      <w:pPr>
        <w:pStyle w:val="ListParagraph"/>
        <w:numPr>
          <w:ilvl w:val="0"/>
          <w:numId w:val="2"/>
        </w:numPr>
        <w:spacing w:after="40" w:before="40"/>
      </w:pPr>
      <w:r>
        <w:rPr>
          <w:rFonts w:ascii="Arial" w:cs="Arial" w:eastAsia="Arial" w:hAnsi="Arial"/>
          <w:color w:val="1A1A1A"/>
          <w:sz w:val="20"/>
          <w:szCs w:val="20"/>
        </w:rPr>
        <w:t xml:space="preserve">Azure DevOps YAML schema reference: https://learn.microsoft.com/azure/devops/pipelines/yaml-schema/</w:t>
      </w:r>
    </w:p>
    <w:p>
      <w:pPr>
        <w:pStyle w:val="ListParagraph"/>
        <w:numPr>
          <w:ilvl w:val="0"/>
          <w:numId w:val="2"/>
        </w:numPr>
        <w:spacing w:after="40" w:before="40"/>
      </w:pPr>
      <w:r>
        <w:rPr>
          <w:rFonts w:ascii="Arial" w:cs="Arial" w:eastAsia="Arial" w:hAnsi="Arial"/>
          <w:color w:val="1A1A1A"/>
          <w:sz w:val="20"/>
          <w:szCs w:val="20"/>
        </w:rPr>
        <w:t xml:space="preserve">tfsec rules reference: https://aquasecurity.github.io/tfsec/</w:t>
      </w:r>
    </w:p>
    <w:p>
      <w:pPr>
        <w:pStyle w:val="ListParagraph"/>
        <w:numPr>
          <w:ilvl w:val="0"/>
          <w:numId w:val="2"/>
        </w:numPr>
        <w:spacing w:after="40" w:before="40"/>
      </w:pPr>
      <w:r>
        <w:rPr>
          <w:rFonts w:ascii="Arial" w:cs="Arial" w:eastAsia="Arial" w:hAnsi="Arial"/>
          <w:color w:val="1A1A1A"/>
          <w:sz w:val="20"/>
          <w:szCs w:val="20"/>
        </w:rPr>
        <w:t xml:space="preserve">Checkov Azure checks: https://www.checkov.io/5.Policy%20Index/terraform.html</w:t>
      </w:r>
    </w:p>
    <w:p>
      <w:pPr>
        <w:spacing w:after="0" w:before="80"/>
      </w:pP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1"/>
      </w:pBdr>
      <w:tabs>
        <w:tab w:val="right" w:pos="9360"/>
      </w:tabs>
      <w:spacing w:after="0" w:before="60"/>
    </w:pPr>
    <w:r>
      <w:rPr>
        <w:rFonts w:ascii="Arial" w:cs="Arial" w:eastAsia="Arial" w:hAnsi="Arial"/>
        <w:color w:val="556B7A"/>
        <w:sz w:val="16"/>
        <w:szCs w:val="16"/>
      </w:rPr>
      <w:t xml:space="preserve">CONFIDENTIAL — Enterprise Internal Use Only</w:t>
    </w:r>
    <w:r>
      <w:rPr>
        <w:rFonts w:ascii="Arial" w:cs="Arial" w:eastAsia="Arial" w:hAnsi="Arial"/>
        <w:color w:val="556B7A"/>
        <w:sz w:val="16"/>
        <w:szCs w:val="16"/>
      </w:rPr>
      <w:t xml:space="preserve">	Page </w:t>
    </w:r>
    <w:r>
      <w:rPr>
        <w:rFonts w:ascii="Arial" w:cs="Arial" w:eastAsia="Arial" w:hAnsi="Arial"/>
        <w:b/>
        <w:bCs/>
        <w:color w:val="2E75B6"/>
        <w:sz w:val="16"/>
        <w:szCs w:val="16"/>
      </w:rPr>
      <w:fldChar w:fldCharType="begin"/>
      <w:instrText xml:space="preserve">PAGE</w:instrText>
      <w:fldChar w:fldCharType="separate"/>
      <w:fldChar w:fldCharType="end"/>
    </w:r>
    <w:r>
      <w:rPr>
        <w:rFonts w:ascii="Arial" w:cs="Arial" w:eastAsia="Arial" w:hAnsi="Arial"/>
        <w:color w:val="556B7A"/>
        <w:sz w:val="16"/>
        <w:szCs w:val="16"/>
      </w:rPr>
      <w:t xml:space="preserve"> of </w:t>
    </w:r>
    <w:r>
      <w:rPr>
        <w:rFonts w:ascii="Arial" w:cs="Arial" w:eastAsia="Arial" w:hAnsi="Arial"/>
        <w:color w:val="556B7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tabs>
        <w:tab w:val="right" w:pos="9360"/>
      </w:tabs>
      <w:spacing w:after="60" w:before="0"/>
    </w:pPr>
    <w:r>
      <w:rPr>
        <w:rFonts w:ascii="Arial" w:cs="Arial" w:eastAsia="Arial" w:hAnsi="Arial"/>
        <w:b/>
        <w:bCs/>
        <w:color w:val="2E75B6"/>
        <w:sz w:val="18"/>
        <w:szCs w:val="18"/>
      </w:rPr>
      <w:t xml:space="preserve">Azure Migration Engineer — Technical Reference Blueprint</w:t>
    </w:r>
    <w:r>
      <w:rPr>
        <w:rFonts w:ascii="Arial" w:cs="Arial" w:eastAsia="Arial" w:hAnsi="Arial"/>
        <w:color w:val="556B7A"/>
        <w:sz w:val="18"/>
        <w:szCs w:val="18"/>
      </w:rPr>
      <w:t xml:space="preserve">	v1.0  |  Internal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900" w:hanging="240"/>
      </w:pPr>
    </w:lvl>
  </w:abstractNum>
  <w:abstractNum w:abstractNumId="4"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0"/>
      <w:outlineLvl w:val="0"/>
    </w:pPr>
    <w:rPr>
      <w:rFonts w:ascii="Arial" w:cs="Arial" w:eastAsia="Arial" w:hAnsi="Arial"/>
      <w:b/>
      <w:bCs/>
      <w:color w:val="FFFFFF"/>
      <w:sz w:val="36"/>
      <w:szCs w:val="36"/>
    </w:rPr>
  </w:style>
  <w:style w:type="paragraph" w:styleId="Heading2">
    <w:name w:val="Heading 2"/>
    <w:basedOn w:val="Normal"/>
    <w:next w:val="Normal"/>
    <w:qFormat/>
    <w:pPr>
      <w:spacing w:after="60" w:before="280"/>
      <w:outlineLvl w:val="1"/>
    </w:pPr>
    <w:rPr>
      <w:rFonts w:ascii="Arial" w:cs="Arial" w:eastAsia="Arial" w:hAnsi="Arial"/>
      <w:b/>
      <w:bCs/>
      <w:color w:val="1F4E79"/>
      <w:sz w:val="28"/>
      <w:szCs w:val="28"/>
    </w:rPr>
  </w:style>
  <w:style w:type="paragraph" w:styleId="Heading3">
    <w:name w:val="Heading 3"/>
    <w:basedOn w:val="Normal"/>
    <w:next w:val="Normal"/>
    <w:qFormat/>
    <w:pPr>
      <w:spacing w:after="60" w:before="200"/>
      <w:outlineLvl w:val="2"/>
    </w:pPr>
    <w:rPr>
      <w:rFonts w:ascii="Arial" w:cs="Arial" w:eastAsia="Arial" w:hAnsi="Arial"/>
      <w:b/>
      <w:bCs/>
      <w:color w:val="007B8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2026-05-06T09:46:00.231Z</dcterms:created>
  <dcterms:modified xsi:type="dcterms:W3CDTF">2026-05-06T09:46:00.244Z</dcterms:modified>
</cp:coreProperties>
</file>

<file path=docProps/custom.xml><?xml version="1.0" encoding="utf-8"?>
<Properties xmlns="http://schemas.openxmlformats.org/officeDocument/2006/custom-properties" xmlns:vt="http://schemas.openxmlformats.org/officeDocument/2006/docPropsVTypes"/>
</file>